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744314" w14:textId="1D15A6D5" w:rsidR="00CD2C3D" w:rsidRPr="00F330E5" w:rsidRDefault="00521D14">
      <w:r w:rsidRPr="00521D14">
        <w:rPr>
          <w:b/>
        </w:rPr>
        <w:drawing>
          <wp:anchor distT="0" distB="0" distL="114300" distR="114300" simplePos="0" relativeHeight="251658240" behindDoc="1" locked="0" layoutInCell="1" allowOverlap="1" wp14:anchorId="0BA8C610" wp14:editId="494B54D7">
            <wp:simplePos x="0" y="0"/>
            <wp:positionH relativeFrom="margin">
              <wp:posOffset>3691890</wp:posOffset>
            </wp:positionH>
            <wp:positionV relativeFrom="paragraph">
              <wp:posOffset>10160</wp:posOffset>
            </wp:positionV>
            <wp:extent cx="2581275" cy="828986"/>
            <wp:effectExtent l="0" t="0" r="0" b="9525"/>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81275" cy="828986"/>
                    </a:xfrm>
                    <a:prstGeom prst="rect">
                      <a:avLst/>
                    </a:prstGeom>
                  </pic:spPr>
                </pic:pic>
              </a:graphicData>
            </a:graphic>
            <wp14:sizeRelH relativeFrom="margin">
              <wp14:pctWidth>0</wp14:pctWidth>
            </wp14:sizeRelH>
            <wp14:sizeRelV relativeFrom="margin">
              <wp14:pctHeight>0</wp14:pctHeight>
            </wp14:sizeRelV>
          </wp:anchor>
        </w:drawing>
      </w:r>
    </w:p>
    <w:p w14:paraId="673E515F" w14:textId="087033F4" w:rsidR="00CD2C3D" w:rsidRPr="00F330E5" w:rsidRDefault="000A4225">
      <w:pPr>
        <w:pBdr>
          <w:top w:val="nil"/>
          <w:left w:val="nil"/>
          <w:bottom w:val="nil"/>
          <w:right w:val="nil"/>
          <w:between w:val="nil"/>
        </w:pBdr>
        <w:jc w:val="center"/>
        <w:rPr>
          <w:b/>
        </w:rPr>
      </w:pPr>
      <w:r w:rsidRPr="00F330E5">
        <w:rPr>
          <w:b/>
        </w:rPr>
        <w:t>MEMORANDO</w:t>
      </w:r>
    </w:p>
    <w:p w14:paraId="5CC4940F" w14:textId="040CBD28" w:rsidR="00CD2C3D" w:rsidRPr="00F330E5" w:rsidRDefault="00CD2C3D">
      <w:pPr>
        <w:pBdr>
          <w:top w:val="nil"/>
          <w:left w:val="nil"/>
          <w:bottom w:val="nil"/>
          <w:right w:val="nil"/>
          <w:between w:val="nil"/>
        </w:pBdr>
        <w:jc w:val="center"/>
        <w:rPr>
          <w:b/>
        </w:rPr>
      </w:pPr>
    </w:p>
    <w:p w14:paraId="7C70E886" w14:textId="726D954E" w:rsidR="00CD2C3D" w:rsidRPr="00F330E5" w:rsidRDefault="00CD2C3D">
      <w:pPr>
        <w:pBdr>
          <w:top w:val="nil"/>
          <w:left w:val="nil"/>
          <w:bottom w:val="nil"/>
          <w:right w:val="nil"/>
          <w:between w:val="nil"/>
        </w:pBdr>
        <w:jc w:val="center"/>
        <w:rPr>
          <w:b/>
        </w:rPr>
      </w:pPr>
    </w:p>
    <w:p w14:paraId="12955E29" w14:textId="3BD77F43" w:rsidR="00CD2C3D" w:rsidRPr="00F330E5" w:rsidRDefault="000A4225">
      <w:pPr>
        <w:pBdr>
          <w:top w:val="nil"/>
          <w:left w:val="nil"/>
          <w:bottom w:val="nil"/>
          <w:right w:val="nil"/>
          <w:between w:val="nil"/>
        </w:pBdr>
        <w:rPr>
          <w:b/>
        </w:rPr>
      </w:pPr>
      <w:r w:rsidRPr="00F330E5">
        <w:rPr>
          <w:b/>
        </w:rPr>
        <w:t>PARA:</w:t>
      </w:r>
      <w:r w:rsidRPr="00F330E5">
        <w:t xml:space="preserve"> </w:t>
      </w:r>
      <w:r w:rsidRPr="00F330E5">
        <w:tab/>
      </w:r>
      <w:r w:rsidRPr="00F330E5">
        <w:rPr>
          <w:b/>
        </w:rPr>
        <w:t>LUZ ANGÉLICA VIZCAINO SOLANO</w:t>
      </w:r>
    </w:p>
    <w:p w14:paraId="0749F994" w14:textId="4318E996" w:rsidR="00CD2C3D" w:rsidRPr="00F330E5" w:rsidRDefault="000A4225">
      <w:pPr>
        <w:pBdr>
          <w:top w:val="nil"/>
          <w:left w:val="nil"/>
          <w:bottom w:val="nil"/>
          <w:right w:val="nil"/>
          <w:between w:val="nil"/>
        </w:pBdr>
        <w:ind w:left="1418"/>
      </w:pPr>
      <w:r w:rsidRPr="00F330E5">
        <w:t>Secretaria General de Organismo de Control</w:t>
      </w:r>
    </w:p>
    <w:p w14:paraId="3BF85C76" w14:textId="2FE91D4C" w:rsidR="00CD2C3D" w:rsidRPr="00F330E5" w:rsidRDefault="00CD2C3D">
      <w:pPr>
        <w:pBdr>
          <w:top w:val="nil"/>
          <w:left w:val="nil"/>
          <w:bottom w:val="nil"/>
          <w:right w:val="nil"/>
          <w:between w:val="nil"/>
        </w:pBdr>
        <w:ind w:left="1418"/>
      </w:pPr>
    </w:p>
    <w:p w14:paraId="41FFEF76" w14:textId="36562377" w:rsidR="00CD2C3D" w:rsidRPr="00F330E5" w:rsidRDefault="000A4225">
      <w:pPr>
        <w:spacing w:line="200" w:lineRule="auto"/>
        <w:jc w:val="both"/>
        <w:rPr>
          <w:b/>
        </w:rPr>
      </w:pPr>
      <w:r w:rsidRPr="00F330E5">
        <w:rPr>
          <w:b/>
        </w:rPr>
        <w:t xml:space="preserve">DE: </w:t>
      </w:r>
      <w:r w:rsidRPr="00F330E5">
        <w:rPr>
          <w:b/>
        </w:rPr>
        <w:tab/>
      </w:r>
      <w:r w:rsidRPr="00F330E5">
        <w:rPr>
          <w:b/>
        </w:rPr>
        <w:tab/>
      </w:r>
      <w:r w:rsidR="00B449CC" w:rsidRPr="00F330E5">
        <w:rPr>
          <w:b/>
        </w:rPr>
        <w:t xml:space="preserve">ANDRÉS BARRIOS BERNAL           </w:t>
      </w:r>
    </w:p>
    <w:p w14:paraId="12925E7B" w14:textId="0533D406" w:rsidR="00CD2C3D" w:rsidRPr="00F330E5" w:rsidRDefault="000A4225">
      <w:pPr>
        <w:spacing w:line="200" w:lineRule="auto"/>
        <w:ind w:left="720" w:firstLine="720"/>
        <w:jc w:val="both"/>
      </w:pPr>
      <w:r w:rsidRPr="00F330E5">
        <w:t>Concejal</w:t>
      </w:r>
      <w:r w:rsidR="00B449CC" w:rsidRPr="00F330E5">
        <w:t xml:space="preserve">es </w:t>
      </w:r>
      <w:r w:rsidRPr="00F330E5">
        <w:t xml:space="preserve">de Bogotá D. C. </w:t>
      </w:r>
      <w:bookmarkStart w:id="0" w:name="_GoBack"/>
      <w:bookmarkEnd w:id="0"/>
    </w:p>
    <w:p w14:paraId="143F5BA5" w14:textId="77777777" w:rsidR="00CD2C3D" w:rsidRPr="00F330E5" w:rsidRDefault="00CD2C3D">
      <w:pPr>
        <w:pBdr>
          <w:top w:val="nil"/>
          <w:left w:val="nil"/>
          <w:bottom w:val="nil"/>
          <w:right w:val="nil"/>
          <w:between w:val="nil"/>
        </w:pBdr>
      </w:pPr>
    </w:p>
    <w:p w14:paraId="5DAB7CF1" w14:textId="77777777" w:rsidR="00CD2C3D" w:rsidRPr="00F330E5" w:rsidRDefault="00CD2C3D">
      <w:pPr>
        <w:pBdr>
          <w:top w:val="nil"/>
          <w:left w:val="nil"/>
          <w:bottom w:val="nil"/>
          <w:right w:val="nil"/>
          <w:between w:val="nil"/>
        </w:pBdr>
      </w:pPr>
    </w:p>
    <w:p w14:paraId="16E505A4" w14:textId="4FDADDBF" w:rsidR="00CD2C3D" w:rsidRPr="00F330E5" w:rsidRDefault="000A4225">
      <w:pPr>
        <w:pBdr>
          <w:top w:val="nil"/>
          <w:left w:val="nil"/>
          <w:bottom w:val="nil"/>
          <w:right w:val="nil"/>
          <w:between w:val="nil"/>
        </w:pBdr>
        <w:ind w:left="1418" w:hanging="1418"/>
        <w:jc w:val="both"/>
      </w:pPr>
      <w:r w:rsidRPr="00F330E5">
        <w:rPr>
          <w:b/>
        </w:rPr>
        <w:t>ASUNTO:</w:t>
      </w:r>
      <w:r w:rsidRPr="00F330E5">
        <w:t xml:space="preserve"> </w:t>
      </w:r>
      <w:r w:rsidRPr="00F330E5">
        <w:tab/>
        <w:t xml:space="preserve">Ponencia </w:t>
      </w:r>
      <w:r w:rsidRPr="00F330E5">
        <w:rPr>
          <w:b/>
        </w:rPr>
        <w:t xml:space="preserve">POSITIVA </w:t>
      </w:r>
      <w:r w:rsidRPr="00F330E5">
        <w:t xml:space="preserve">para primer debate del Proyecto de Acuerdo No. </w:t>
      </w:r>
      <w:r w:rsidR="00E20A9B" w:rsidRPr="00F330E5">
        <w:t xml:space="preserve">517 </w:t>
      </w:r>
      <w:r w:rsidRPr="00F330E5">
        <w:t>de 2025.</w:t>
      </w:r>
    </w:p>
    <w:p w14:paraId="6B16211E" w14:textId="77777777" w:rsidR="00CD2C3D" w:rsidRPr="00F330E5" w:rsidRDefault="00CD2C3D">
      <w:pPr>
        <w:pBdr>
          <w:top w:val="nil"/>
          <w:left w:val="nil"/>
          <w:bottom w:val="nil"/>
          <w:right w:val="nil"/>
          <w:between w:val="nil"/>
        </w:pBdr>
        <w:jc w:val="both"/>
      </w:pPr>
    </w:p>
    <w:p w14:paraId="4B01731C" w14:textId="77777777" w:rsidR="00CD2C3D" w:rsidRPr="00F330E5" w:rsidRDefault="00CD2C3D">
      <w:pPr>
        <w:pBdr>
          <w:top w:val="nil"/>
          <w:left w:val="nil"/>
          <w:bottom w:val="nil"/>
          <w:right w:val="nil"/>
          <w:between w:val="nil"/>
        </w:pBdr>
        <w:jc w:val="both"/>
      </w:pPr>
    </w:p>
    <w:p w14:paraId="11A9D2B7" w14:textId="77777777" w:rsidR="00CD2C3D" w:rsidRPr="00F330E5" w:rsidRDefault="000A4225">
      <w:pPr>
        <w:pBdr>
          <w:top w:val="nil"/>
          <w:left w:val="nil"/>
          <w:bottom w:val="nil"/>
          <w:right w:val="nil"/>
          <w:between w:val="nil"/>
        </w:pBdr>
        <w:jc w:val="both"/>
      </w:pPr>
      <w:r w:rsidRPr="00F330E5">
        <w:t xml:space="preserve">Cordial saludo, </w:t>
      </w:r>
    </w:p>
    <w:p w14:paraId="3B056C48" w14:textId="77777777" w:rsidR="00CD2C3D" w:rsidRPr="00F330E5" w:rsidRDefault="00CD2C3D">
      <w:pPr>
        <w:pBdr>
          <w:top w:val="nil"/>
          <w:left w:val="nil"/>
          <w:bottom w:val="nil"/>
          <w:right w:val="nil"/>
          <w:between w:val="nil"/>
        </w:pBdr>
        <w:jc w:val="both"/>
      </w:pPr>
    </w:p>
    <w:p w14:paraId="61B520EE" w14:textId="12AA8B73" w:rsidR="00E20A9B" w:rsidRPr="00F330E5" w:rsidRDefault="000A4225" w:rsidP="00E20A9B">
      <w:pPr>
        <w:pStyle w:val="NormalWeb"/>
        <w:jc w:val="both"/>
        <w:rPr>
          <w:rFonts w:ascii="Arial" w:hAnsi="Arial" w:cs="Arial"/>
        </w:rPr>
      </w:pPr>
      <w:r w:rsidRPr="00F330E5">
        <w:rPr>
          <w:rFonts w:ascii="Arial" w:hAnsi="Arial" w:cs="Arial"/>
        </w:rPr>
        <w:t>En atención a la designación comunicada el pasado</w:t>
      </w:r>
      <w:r w:rsidR="00E20A9B" w:rsidRPr="00F330E5">
        <w:rPr>
          <w:rFonts w:ascii="Arial" w:hAnsi="Arial" w:cs="Arial"/>
        </w:rPr>
        <w:t xml:space="preserve"> </w:t>
      </w:r>
      <w:r w:rsidR="00A4542C">
        <w:rPr>
          <w:rFonts w:ascii="Arial" w:hAnsi="Arial" w:cs="Arial"/>
        </w:rPr>
        <w:t>30</w:t>
      </w:r>
      <w:r w:rsidRPr="00F330E5">
        <w:rPr>
          <w:rFonts w:ascii="Arial" w:hAnsi="Arial" w:cs="Arial"/>
        </w:rPr>
        <w:t xml:space="preserve"> de </w:t>
      </w:r>
      <w:r w:rsidR="00A4542C">
        <w:rPr>
          <w:rFonts w:ascii="Arial" w:hAnsi="Arial" w:cs="Arial"/>
        </w:rPr>
        <w:t>mayo</w:t>
      </w:r>
      <w:r w:rsidRPr="00F330E5">
        <w:rPr>
          <w:rFonts w:ascii="Arial" w:hAnsi="Arial" w:cs="Arial"/>
        </w:rPr>
        <w:t xml:space="preserve"> de 2025 con CORDIS N. </w:t>
      </w:r>
      <w:r w:rsidR="00A4542C">
        <w:rPr>
          <w:rFonts w:ascii="Arial" w:hAnsi="Arial" w:cs="Arial"/>
        </w:rPr>
        <w:t>2025IE10127</w:t>
      </w:r>
      <w:r w:rsidRPr="00F330E5">
        <w:rPr>
          <w:rFonts w:ascii="Arial" w:hAnsi="Arial" w:cs="Arial"/>
        </w:rPr>
        <w:t xml:space="preserve"> y dentro del término legal, </w:t>
      </w:r>
      <w:r w:rsidR="00E20A9B" w:rsidRPr="00F330E5">
        <w:rPr>
          <w:rFonts w:ascii="Arial" w:hAnsi="Arial" w:cs="Arial"/>
        </w:rPr>
        <w:t xml:space="preserve">me </w:t>
      </w:r>
      <w:r w:rsidRPr="00F330E5">
        <w:rPr>
          <w:rFonts w:ascii="Arial" w:hAnsi="Arial" w:cs="Arial"/>
        </w:rPr>
        <w:t>pe</w:t>
      </w:r>
      <w:r w:rsidR="00A4542C">
        <w:rPr>
          <w:rFonts w:ascii="Arial" w:hAnsi="Arial" w:cs="Arial"/>
        </w:rPr>
        <w:t>r</w:t>
      </w:r>
      <w:r w:rsidRPr="00F330E5">
        <w:rPr>
          <w:rFonts w:ascii="Arial" w:hAnsi="Arial" w:cs="Arial"/>
        </w:rPr>
        <w:t>mit</w:t>
      </w:r>
      <w:r w:rsidR="00006D82">
        <w:rPr>
          <w:rFonts w:ascii="Arial" w:hAnsi="Arial" w:cs="Arial"/>
        </w:rPr>
        <w:t>o</w:t>
      </w:r>
      <w:r w:rsidRPr="00F330E5">
        <w:rPr>
          <w:rFonts w:ascii="Arial" w:hAnsi="Arial" w:cs="Arial"/>
        </w:rPr>
        <w:t xml:space="preserve"> rendir </w:t>
      </w:r>
      <w:r w:rsidRPr="00F330E5">
        <w:rPr>
          <w:rFonts w:ascii="Arial" w:hAnsi="Arial" w:cs="Arial"/>
          <w:b/>
        </w:rPr>
        <w:t>PONENCIA POSITIVA</w:t>
      </w:r>
      <w:r w:rsidRPr="00F330E5">
        <w:rPr>
          <w:rFonts w:ascii="Arial" w:hAnsi="Arial" w:cs="Arial"/>
        </w:rPr>
        <w:t xml:space="preserve"> para primer debate del Proyecto de Acuerdo No.</w:t>
      </w:r>
      <w:r w:rsidR="00006D82">
        <w:rPr>
          <w:rFonts w:ascii="Arial" w:hAnsi="Arial" w:cs="Arial"/>
        </w:rPr>
        <w:t xml:space="preserve"> </w:t>
      </w:r>
      <w:r w:rsidR="00E20A9B" w:rsidRPr="00F330E5">
        <w:rPr>
          <w:rFonts w:ascii="Arial" w:hAnsi="Arial" w:cs="Arial"/>
        </w:rPr>
        <w:t>517</w:t>
      </w:r>
      <w:r w:rsidR="00B9678C" w:rsidRPr="00F330E5">
        <w:rPr>
          <w:rFonts w:ascii="Arial" w:hAnsi="Arial" w:cs="Arial"/>
        </w:rPr>
        <w:t xml:space="preserve"> </w:t>
      </w:r>
      <w:r w:rsidRPr="00F330E5">
        <w:rPr>
          <w:rFonts w:ascii="Arial" w:hAnsi="Arial" w:cs="Arial"/>
        </w:rPr>
        <w:t>de 2025</w:t>
      </w:r>
      <w:r w:rsidR="00E20A9B" w:rsidRPr="00F330E5">
        <w:rPr>
          <w:rFonts w:ascii="Arial" w:hAnsi="Arial" w:cs="Arial"/>
          <w:b/>
          <w:i/>
        </w:rPr>
        <w:t xml:space="preserve"> "</w:t>
      </w:r>
      <w:r w:rsidR="00E20A9B" w:rsidRPr="00F330E5">
        <w:rPr>
          <w:rFonts w:ascii="Arial" w:hAnsi="Arial" w:cs="Arial"/>
          <w:b/>
        </w:rPr>
        <w:t>Por medio del cual se modifica el Acuerdo 867 de 2023</w:t>
      </w:r>
      <w:r w:rsidR="00E20A9B" w:rsidRPr="00F330E5">
        <w:rPr>
          <w:rFonts w:ascii="Arial" w:hAnsi="Arial" w:cs="Arial"/>
          <w:i/>
        </w:rPr>
        <w:t xml:space="preserve"> </w:t>
      </w:r>
      <w:r w:rsidR="00E20A9B" w:rsidRPr="00F330E5">
        <w:rPr>
          <w:rFonts w:ascii="Arial" w:hAnsi="Arial" w:cs="Arial"/>
          <w:b/>
          <w:bCs/>
          <w:i/>
        </w:rPr>
        <w:t>«</w:t>
      </w:r>
      <w:r w:rsidR="00E20A9B" w:rsidRPr="00F330E5">
        <w:rPr>
          <w:rFonts w:ascii="Arial" w:hAnsi="Arial" w:cs="Arial"/>
          <w:b/>
          <w:bCs/>
          <w:i/>
          <w:iCs/>
          <w:shd w:val="clear" w:color="auto" w:fill="FFFFFF"/>
        </w:rPr>
        <w:t>Por el cual se establecen lineamientos y estrategias para la prevención y atención integral de personas con lesiones por quemaduras en Bogotá D.C.</w:t>
      </w:r>
      <w:r w:rsidR="00E20A9B" w:rsidRPr="00F330E5">
        <w:rPr>
          <w:rFonts w:ascii="Arial" w:hAnsi="Arial" w:cs="Arial"/>
          <w:b/>
          <w:bCs/>
          <w:i/>
        </w:rPr>
        <w:t xml:space="preserve">» </w:t>
      </w:r>
      <w:r w:rsidR="00E20A9B" w:rsidRPr="00F330E5">
        <w:rPr>
          <w:rFonts w:ascii="Arial" w:hAnsi="Arial" w:cs="Arial"/>
          <w:b/>
          <w:bCs/>
        </w:rPr>
        <w:t>y se dictan otras disposiciones</w:t>
      </w:r>
      <w:r w:rsidR="00E20A9B" w:rsidRPr="00F330E5">
        <w:rPr>
          <w:rFonts w:ascii="Arial" w:hAnsi="Arial" w:cs="Arial"/>
          <w:b/>
          <w:bCs/>
          <w:i/>
        </w:rPr>
        <w:t xml:space="preserve">” </w:t>
      </w:r>
      <w:r w:rsidRPr="00F330E5">
        <w:rPr>
          <w:rFonts w:ascii="Arial" w:hAnsi="Arial" w:cs="Arial"/>
        </w:rPr>
        <w:t>de autoría de</w:t>
      </w:r>
      <w:r w:rsidR="00E20A9B" w:rsidRPr="00F330E5">
        <w:rPr>
          <w:rFonts w:ascii="Arial" w:hAnsi="Arial" w:cs="Arial"/>
        </w:rPr>
        <w:t xml:space="preserve"> los </w:t>
      </w:r>
      <w:r w:rsidR="00B9678C" w:rsidRPr="00F330E5">
        <w:rPr>
          <w:rFonts w:ascii="Arial" w:hAnsi="Arial" w:cs="Arial"/>
        </w:rPr>
        <w:t xml:space="preserve"> </w:t>
      </w:r>
      <w:r w:rsidRPr="00F330E5">
        <w:rPr>
          <w:rFonts w:ascii="Arial" w:hAnsi="Arial" w:cs="Arial"/>
        </w:rPr>
        <w:t>H. Concejal</w:t>
      </w:r>
      <w:r w:rsidR="00E20A9B" w:rsidRPr="00F330E5">
        <w:rPr>
          <w:rFonts w:ascii="Arial" w:hAnsi="Arial" w:cs="Arial"/>
        </w:rPr>
        <w:t>es</w:t>
      </w:r>
      <w:r w:rsidRPr="00F330E5">
        <w:rPr>
          <w:rFonts w:ascii="Arial" w:hAnsi="Arial" w:cs="Arial"/>
        </w:rPr>
        <w:t xml:space="preserve"> </w:t>
      </w:r>
      <w:r w:rsidR="00A4542C" w:rsidRPr="00F330E5">
        <w:rPr>
          <w:rFonts w:ascii="Arial" w:hAnsi="Arial" w:cs="Arial"/>
        </w:rPr>
        <w:t>María</w:t>
      </w:r>
      <w:r w:rsidR="00E20A9B" w:rsidRPr="00F330E5">
        <w:rPr>
          <w:rFonts w:ascii="Arial" w:hAnsi="Arial" w:cs="Arial"/>
        </w:rPr>
        <w:t xml:space="preserve"> Clara </w:t>
      </w:r>
      <w:proofErr w:type="spellStart"/>
      <w:r w:rsidR="00E20A9B" w:rsidRPr="00F330E5">
        <w:rPr>
          <w:rFonts w:ascii="Arial" w:hAnsi="Arial" w:cs="Arial"/>
        </w:rPr>
        <w:t>Name</w:t>
      </w:r>
      <w:proofErr w:type="spellEnd"/>
      <w:r w:rsidR="00E20A9B" w:rsidRPr="00F330E5">
        <w:rPr>
          <w:rFonts w:ascii="Arial" w:hAnsi="Arial" w:cs="Arial"/>
        </w:rPr>
        <w:t xml:space="preserve"> </w:t>
      </w:r>
      <w:r w:rsidR="00A4542C" w:rsidRPr="00F330E5">
        <w:rPr>
          <w:rFonts w:ascii="Arial" w:hAnsi="Arial" w:cs="Arial"/>
        </w:rPr>
        <w:t>Ramírez</w:t>
      </w:r>
      <w:r w:rsidR="00E20A9B" w:rsidRPr="00F330E5">
        <w:rPr>
          <w:rFonts w:ascii="Arial" w:hAnsi="Arial" w:cs="Arial"/>
        </w:rPr>
        <w:t xml:space="preserve"> y Humberto Rafael Amin Martelo.</w:t>
      </w:r>
    </w:p>
    <w:p w14:paraId="6F3C6BAB" w14:textId="438BB540" w:rsidR="00CD2C3D" w:rsidRPr="00F330E5" w:rsidRDefault="000A4225" w:rsidP="00E20A9B">
      <w:pPr>
        <w:pStyle w:val="NormalWeb"/>
        <w:jc w:val="both"/>
        <w:rPr>
          <w:rFonts w:ascii="Arial" w:hAnsi="Arial" w:cs="Arial"/>
        </w:rPr>
      </w:pPr>
      <w:r w:rsidRPr="00F330E5">
        <w:rPr>
          <w:rFonts w:ascii="Arial" w:hAnsi="Arial" w:cs="Arial"/>
        </w:rPr>
        <w:t>Lo anterior en atención y cumplimiento a lo dispuesto en el artículo 71 del Acuerdo 741 de 2019, modificado por el Acuerdo 837 de 2022 - Reglamento Interno del Concejo de Bogotá.</w:t>
      </w:r>
    </w:p>
    <w:p w14:paraId="7BFB7727" w14:textId="77777777" w:rsidR="00CD2C3D" w:rsidRPr="00F330E5" w:rsidRDefault="00CD2C3D">
      <w:pPr>
        <w:pBdr>
          <w:top w:val="nil"/>
          <w:left w:val="nil"/>
          <w:bottom w:val="nil"/>
          <w:right w:val="nil"/>
          <w:between w:val="nil"/>
        </w:pBdr>
        <w:spacing w:line="276" w:lineRule="auto"/>
        <w:jc w:val="both"/>
      </w:pPr>
    </w:p>
    <w:p w14:paraId="791712EB" w14:textId="77777777" w:rsidR="00CD2C3D" w:rsidRPr="00F330E5" w:rsidRDefault="000A4225">
      <w:r w:rsidRPr="00F330E5">
        <w:t xml:space="preserve">Atentamente, </w:t>
      </w:r>
    </w:p>
    <w:p w14:paraId="053DB60A" w14:textId="509211F5" w:rsidR="00CD2C3D" w:rsidRPr="00F330E5" w:rsidRDefault="00CD2C3D"/>
    <w:p w14:paraId="2B7D4A11" w14:textId="528494B7" w:rsidR="00CD2C3D" w:rsidRPr="00F330E5" w:rsidRDefault="00CD2C3D"/>
    <w:p w14:paraId="12240624" w14:textId="07C6D0CE" w:rsidR="00CD2C3D" w:rsidRPr="00F330E5" w:rsidRDefault="00CD2C3D"/>
    <w:p w14:paraId="6FB6C15F" w14:textId="72C789DE" w:rsidR="00CD2C3D" w:rsidRPr="00F330E5" w:rsidRDefault="00B449CC">
      <w:pPr>
        <w:rPr>
          <w:b/>
        </w:rPr>
      </w:pPr>
      <w:r w:rsidRPr="00F330E5">
        <w:rPr>
          <w:b/>
        </w:rPr>
        <w:t xml:space="preserve">H.C. ANDRÉS BARRIOS BERNAL           </w:t>
      </w:r>
    </w:p>
    <w:p w14:paraId="512546DE" w14:textId="4B1B5066" w:rsidR="00CD2C3D" w:rsidRPr="00F330E5" w:rsidRDefault="00B449CC">
      <w:r w:rsidRPr="00F330E5">
        <w:t>Ponente</w:t>
      </w:r>
    </w:p>
    <w:p w14:paraId="5FEDC0E6" w14:textId="63A9291A" w:rsidR="00CD2C3D" w:rsidRPr="00F330E5" w:rsidRDefault="00B449CC">
      <w:r w:rsidRPr="00F330E5">
        <w:t>Partido Centro Democrátic</w:t>
      </w:r>
      <w:r w:rsidR="00E20A9B" w:rsidRPr="00F330E5">
        <w:t>o</w:t>
      </w:r>
    </w:p>
    <w:p w14:paraId="4A1DACD2" w14:textId="77777777" w:rsidR="00CD2C3D" w:rsidRPr="00F330E5" w:rsidRDefault="00CD2C3D"/>
    <w:p w14:paraId="6F7BDC5D" w14:textId="77777777" w:rsidR="00CD2C3D" w:rsidRPr="00F330E5" w:rsidRDefault="00CD2C3D"/>
    <w:p w14:paraId="7DC1C116" w14:textId="4AC2D569" w:rsidR="00CD2C3D" w:rsidRPr="00F330E5" w:rsidRDefault="000A4225">
      <w:pPr>
        <w:jc w:val="center"/>
        <w:rPr>
          <w:b/>
        </w:rPr>
      </w:pPr>
      <w:r w:rsidRPr="00F330E5">
        <w:rPr>
          <w:b/>
        </w:rPr>
        <w:t xml:space="preserve">PONENCIA PROYECTO DE ACUERDO No. </w:t>
      </w:r>
      <w:r w:rsidR="00E20A9B" w:rsidRPr="00F330E5">
        <w:rPr>
          <w:b/>
        </w:rPr>
        <w:t xml:space="preserve">517 </w:t>
      </w:r>
      <w:r w:rsidRPr="00F330E5">
        <w:rPr>
          <w:b/>
        </w:rPr>
        <w:t>DE  2025</w:t>
      </w:r>
    </w:p>
    <w:p w14:paraId="0D195903" w14:textId="77777777" w:rsidR="00CD2C3D" w:rsidRPr="00F330E5" w:rsidRDefault="00CD2C3D"/>
    <w:p w14:paraId="207890D9" w14:textId="77777777" w:rsidR="00CD2C3D" w:rsidRPr="00F330E5" w:rsidRDefault="00CD2C3D" w:rsidP="00E20A9B">
      <w:pPr>
        <w:jc w:val="center"/>
      </w:pPr>
      <w:bookmarkStart w:id="1" w:name="_heading=h.cwsptk4l1arq" w:colFirst="0" w:colLast="0"/>
      <w:bookmarkEnd w:id="1"/>
    </w:p>
    <w:p w14:paraId="2A3A38B5" w14:textId="7DABDD83" w:rsidR="00E20A9B" w:rsidRPr="00F330E5" w:rsidRDefault="00E20A9B" w:rsidP="00E20A9B">
      <w:pPr>
        <w:pStyle w:val="NormalWeb"/>
        <w:jc w:val="center"/>
        <w:rPr>
          <w:rFonts w:ascii="Arial" w:hAnsi="Arial" w:cs="Arial"/>
          <w:i/>
        </w:rPr>
      </w:pPr>
      <w:r w:rsidRPr="00F330E5">
        <w:rPr>
          <w:rFonts w:ascii="Arial" w:hAnsi="Arial" w:cs="Arial"/>
          <w:i/>
        </w:rPr>
        <w:t>“"</w:t>
      </w:r>
      <w:r w:rsidRPr="00F330E5">
        <w:rPr>
          <w:rFonts w:ascii="Arial" w:hAnsi="Arial" w:cs="Arial"/>
        </w:rPr>
        <w:t>POR MEDIO DEL CUAL SE MODIFICA EL ACUERDO 867 DE 2023</w:t>
      </w:r>
      <w:r w:rsidRPr="00F330E5">
        <w:rPr>
          <w:rFonts w:ascii="Arial" w:hAnsi="Arial" w:cs="Arial"/>
          <w:i/>
        </w:rPr>
        <w:t xml:space="preserve"> «</w:t>
      </w:r>
      <w:r w:rsidRPr="00F330E5">
        <w:rPr>
          <w:rFonts w:ascii="Arial" w:hAnsi="Arial" w:cs="Arial"/>
          <w:bCs/>
          <w:i/>
          <w:iCs/>
          <w:shd w:val="clear" w:color="auto" w:fill="FFFFFF"/>
        </w:rPr>
        <w:t>POR EL CUAL SE ESTABLECEN LINEAMIENTOS Y ESTRATEGIAS PARA LA PREVENCIÓN Y ATENCIÓN INTEGRAL DE PERSONAS CON LESIONES POR QUEMADURAS EN BOGOTÁ D.C.</w:t>
      </w:r>
      <w:r w:rsidRPr="00F330E5">
        <w:rPr>
          <w:rFonts w:ascii="Arial" w:hAnsi="Arial" w:cs="Arial"/>
          <w:i/>
        </w:rPr>
        <w:t xml:space="preserve">» </w:t>
      </w:r>
      <w:r w:rsidRPr="00F330E5">
        <w:rPr>
          <w:rFonts w:ascii="Arial" w:hAnsi="Arial" w:cs="Arial"/>
        </w:rPr>
        <w:t>Y SE DICTAN OTRAS DISPOSICIONES</w:t>
      </w:r>
      <w:r w:rsidRPr="00F330E5">
        <w:rPr>
          <w:rFonts w:ascii="Arial" w:hAnsi="Arial" w:cs="Arial"/>
          <w:i/>
        </w:rPr>
        <w:t>”</w:t>
      </w:r>
    </w:p>
    <w:p w14:paraId="663CE704" w14:textId="169E5052" w:rsidR="00CD2C3D" w:rsidRPr="00F330E5" w:rsidRDefault="00CD2C3D" w:rsidP="00E20A9B">
      <w:pPr>
        <w:jc w:val="center"/>
      </w:pPr>
    </w:p>
    <w:p w14:paraId="173AD7BF" w14:textId="77777777" w:rsidR="000A55EE" w:rsidRPr="00F330E5" w:rsidRDefault="000A55EE"/>
    <w:p w14:paraId="497773DF" w14:textId="77777777" w:rsidR="00CD2C3D" w:rsidRPr="00F330E5" w:rsidRDefault="000A4225">
      <w:pPr>
        <w:numPr>
          <w:ilvl w:val="0"/>
          <w:numId w:val="3"/>
        </w:numPr>
        <w:pBdr>
          <w:top w:val="nil"/>
          <w:left w:val="nil"/>
          <w:bottom w:val="nil"/>
          <w:right w:val="nil"/>
          <w:between w:val="nil"/>
        </w:pBdr>
      </w:pPr>
      <w:r w:rsidRPr="00F330E5">
        <w:rPr>
          <w:b/>
          <w:u w:val="single"/>
        </w:rPr>
        <w:t>OBJETO</w:t>
      </w:r>
    </w:p>
    <w:p w14:paraId="06A50FAD" w14:textId="77777777" w:rsidR="00CD2C3D" w:rsidRPr="00F330E5" w:rsidRDefault="00CD2C3D">
      <w:pPr>
        <w:rPr>
          <w:b/>
        </w:rPr>
      </w:pPr>
    </w:p>
    <w:p w14:paraId="410AA837" w14:textId="77777777" w:rsidR="00E20A9B" w:rsidRPr="00F330E5" w:rsidRDefault="00E20A9B" w:rsidP="00E20A9B">
      <w:pPr>
        <w:jc w:val="both"/>
        <w:rPr>
          <w:color w:val="auto"/>
          <w:shd w:val="clear" w:color="auto" w:fill="FFFFFF"/>
        </w:rPr>
      </w:pPr>
      <w:r w:rsidRPr="00F330E5">
        <w:rPr>
          <w:color w:val="auto"/>
          <w:shd w:val="clear" w:color="auto" w:fill="FFFFFF"/>
        </w:rPr>
        <w:t xml:space="preserve">Esta iniciativa tiene como objeto modificar el Acuerdo 867 de 2023 </w:t>
      </w:r>
      <w:r w:rsidRPr="00F330E5">
        <w:rPr>
          <w:i/>
          <w:color w:val="auto"/>
        </w:rPr>
        <w:t>«</w:t>
      </w:r>
      <w:r w:rsidRPr="00F330E5">
        <w:rPr>
          <w:bCs/>
          <w:i/>
          <w:iCs/>
          <w:color w:val="auto"/>
          <w:shd w:val="clear" w:color="auto" w:fill="FFFFFF"/>
        </w:rPr>
        <w:t xml:space="preserve">Por el cual se establecen lineamientos y estrategias para la prevención y atención integral de personas con lesiones por quemaduras en Bogotá D.C.” </w:t>
      </w:r>
      <w:r w:rsidRPr="00F330E5">
        <w:rPr>
          <w:bCs/>
          <w:iCs/>
          <w:color w:val="auto"/>
          <w:shd w:val="clear" w:color="auto" w:fill="FFFFFF"/>
        </w:rPr>
        <w:t xml:space="preserve">con el fin de incorporar estrategias que permitan </w:t>
      </w:r>
      <w:r w:rsidRPr="00F330E5">
        <w:rPr>
          <w:iCs/>
          <w:color w:val="auto"/>
        </w:rPr>
        <w:t>fortalecer la atención integral y especializada al paciente quemado a través de la i</w:t>
      </w:r>
      <w:r w:rsidRPr="00F330E5">
        <w:rPr>
          <w:color w:val="auto"/>
        </w:rPr>
        <w:t xml:space="preserve">mplementación de medidas de  prevención e identificación del riesgo de agentes causales de quemaduras, de carácter permanente así como la minimización de las barreras de acceso en </w:t>
      </w:r>
      <w:r w:rsidRPr="00F330E5">
        <w:t>su atención.</w:t>
      </w:r>
      <w:r w:rsidRPr="00F330E5">
        <w:rPr>
          <w:color w:val="auto"/>
          <w:shd w:val="clear" w:color="auto" w:fill="FFFFFF"/>
        </w:rPr>
        <w:t xml:space="preserve"> </w:t>
      </w:r>
    </w:p>
    <w:p w14:paraId="7496F35B" w14:textId="77777777" w:rsidR="00E20A9B" w:rsidRPr="00F330E5" w:rsidRDefault="00E20A9B" w:rsidP="00E20A9B">
      <w:pPr>
        <w:jc w:val="both"/>
        <w:rPr>
          <w:color w:val="auto"/>
          <w:shd w:val="clear" w:color="auto" w:fill="FFFFFF"/>
        </w:rPr>
      </w:pPr>
    </w:p>
    <w:p w14:paraId="78D7E575" w14:textId="77777777" w:rsidR="00CD2C3D" w:rsidRPr="00F330E5" w:rsidRDefault="00CD2C3D">
      <w:pPr>
        <w:spacing w:line="276" w:lineRule="auto"/>
        <w:jc w:val="both"/>
      </w:pPr>
    </w:p>
    <w:p w14:paraId="0D8AC134" w14:textId="77777777" w:rsidR="00CD2C3D" w:rsidRPr="00F330E5" w:rsidRDefault="000A4225">
      <w:pPr>
        <w:numPr>
          <w:ilvl w:val="0"/>
          <w:numId w:val="3"/>
        </w:numPr>
        <w:pBdr>
          <w:top w:val="nil"/>
          <w:left w:val="nil"/>
          <w:bottom w:val="nil"/>
          <w:right w:val="nil"/>
          <w:between w:val="nil"/>
        </w:pBdr>
      </w:pPr>
      <w:r w:rsidRPr="00F330E5">
        <w:rPr>
          <w:b/>
          <w:u w:val="single"/>
        </w:rPr>
        <w:t>JUSTIFICACIÓN DEL PROYECTO Y ANÁLISIS DE LA INICIATIVA</w:t>
      </w:r>
    </w:p>
    <w:p w14:paraId="1F229992" w14:textId="77777777" w:rsidR="00CD2C3D" w:rsidRPr="00F330E5" w:rsidRDefault="00CD2C3D">
      <w:pPr>
        <w:jc w:val="both"/>
      </w:pPr>
    </w:p>
    <w:p w14:paraId="0A507736" w14:textId="77777777" w:rsidR="00E20A9B" w:rsidRPr="00F330E5" w:rsidRDefault="00E20A9B" w:rsidP="00E20A9B">
      <w:pPr>
        <w:jc w:val="both"/>
        <w:rPr>
          <w:bCs/>
          <w:color w:val="auto"/>
        </w:rPr>
      </w:pPr>
      <w:r w:rsidRPr="00F330E5">
        <w:rPr>
          <w:bCs/>
          <w:color w:val="auto"/>
        </w:rPr>
        <w:t xml:space="preserve">Las quemaduras son una problemática de salud pública a nivel mundial provocando secuelas y fallecimientos en toda la población afectada, presentando riesgos indiscriminados desde una perspectiva </w:t>
      </w:r>
      <w:proofErr w:type="spellStart"/>
      <w:r w:rsidRPr="00F330E5">
        <w:rPr>
          <w:bCs/>
          <w:color w:val="auto"/>
        </w:rPr>
        <w:t>biopsicosociocultural</w:t>
      </w:r>
      <w:proofErr w:type="spellEnd"/>
      <w:r w:rsidRPr="00F330E5">
        <w:rPr>
          <w:bCs/>
          <w:color w:val="auto"/>
        </w:rPr>
        <w:t xml:space="preserve"> en los diferentes grupos de edad, género, raza y factores socioeconómicos. Según la Organización Mundial de la Salud (OMS), (…)  “</w:t>
      </w:r>
      <w:r w:rsidRPr="00F330E5">
        <w:rPr>
          <w:bCs/>
          <w:i/>
          <w:color w:val="auto"/>
        </w:rPr>
        <w:t>las quemaduras son un problema de salud pública a nivel mundial que se cobra alrededor de 180 000 vidas al año. La mayoría de estos fallecimientos se producen en países de ingreso mediano y bajo y casi dos tercios, en las regiones de África y de Asia Sudoriental de la OMS.</w:t>
      </w:r>
      <w:r w:rsidRPr="00F330E5">
        <w:rPr>
          <w:i/>
        </w:rPr>
        <w:t xml:space="preserve"> </w:t>
      </w:r>
      <w:r w:rsidRPr="00F330E5">
        <w:rPr>
          <w:bCs/>
          <w:i/>
          <w:color w:val="auto"/>
        </w:rPr>
        <w:t>En Bangladesh, Colombia, Egipto y el Pakistán, el 17% de los niños con quemaduras sufre una discapacidad temporal y el 18%, una discapacidad permanente”</w:t>
      </w:r>
      <w:r w:rsidRPr="00F330E5">
        <w:rPr>
          <w:rStyle w:val="Refdenotaalpie"/>
          <w:bCs/>
          <w:i/>
          <w:color w:val="auto"/>
        </w:rPr>
        <w:footnoteReference w:id="1"/>
      </w:r>
      <w:r w:rsidRPr="00F330E5">
        <w:rPr>
          <w:bCs/>
          <w:i/>
          <w:color w:val="auto"/>
        </w:rPr>
        <w:t>.</w:t>
      </w:r>
      <w:r w:rsidRPr="00F330E5">
        <w:rPr>
          <w:bCs/>
          <w:color w:val="auto"/>
        </w:rPr>
        <w:t xml:space="preserve"> </w:t>
      </w:r>
    </w:p>
    <w:p w14:paraId="4BFA01D2" w14:textId="77777777" w:rsidR="00E20A9B" w:rsidRPr="00F330E5" w:rsidRDefault="00E20A9B" w:rsidP="00E20A9B">
      <w:pPr>
        <w:shd w:val="clear" w:color="auto" w:fill="FFFFFF"/>
        <w:spacing w:line="300" w:lineRule="atLeast"/>
        <w:jc w:val="both"/>
        <w:rPr>
          <w:bCs/>
          <w:i/>
          <w:color w:val="auto"/>
        </w:rPr>
      </w:pPr>
    </w:p>
    <w:p w14:paraId="5124BFC3" w14:textId="77777777" w:rsidR="00E20A9B" w:rsidRPr="00F330E5" w:rsidRDefault="00E20A9B" w:rsidP="00E20A9B">
      <w:pPr>
        <w:shd w:val="clear" w:color="auto" w:fill="FFFFFF"/>
        <w:spacing w:line="300" w:lineRule="atLeast"/>
        <w:jc w:val="both"/>
        <w:rPr>
          <w:bCs/>
          <w:i/>
          <w:color w:val="auto"/>
        </w:rPr>
      </w:pPr>
    </w:p>
    <w:p w14:paraId="0FB383B5" w14:textId="06117E6D" w:rsidR="00E20A9B" w:rsidRPr="00F330E5" w:rsidRDefault="00E20A9B" w:rsidP="00E20A9B">
      <w:pPr>
        <w:pStyle w:val="Prrafodelista"/>
        <w:numPr>
          <w:ilvl w:val="0"/>
          <w:numId w:val="10"/>
        </w:numPr>
        <w:spacing w:line="276" w:lineRule="auto"/>
        <w:jc w:val="both"/>
        <w:rPr>
          <w:b/>
          <w:color w:val="auto"/>
          <w:lang w:eastAsia="es-CO"/>
        </w:rPr>
      </w:pPr>
      <w:r w:rsidRPr="00F330E5">
        <w:rPr>
          <w:b/>
          <w:color w:val="auto"/>
          <w:lang w:eastAsia="es-CO"/>
        </w:rPr>
        <w:lastRenderedPageBreak/>
        <w:t xml:space="preserve">Precedentes casos de quemados con químicos en Bogotá </w:t>
      </w:r>
    </w:p>
    <w:p w14:paraId="109C3E84" w14:textId="77777777" w:rsidR="00E20A9B" w:rsidRPr="00F330E5" w:rsidRDefault="00E20A9B" w:rsidP="00E20A9B">
      <w:pPr>
        <w:spacing w:line="276" w:lineRule="auto"/>
        <w:jc w:val="both"/>
        <w:rPr>
          <w:color w:val="auto"/>
          <w:lang w:eastAsia="es-CO"/>
        </w:rPr>
      </w:pPr>
    </w:p>
    <w:p w14:paraId="5516FC42" w14:textId="77777777" w:rsidR="00E20A9B" w:rsidRPr="00F330E5" w:rsidRDefault="00E20A9B" w:rsidP="00E20A9B">
      <w:pPr>
        <w:jc w:val="both"/>
        <w:rPr>
          <w:color w:val="auto"/>
          <w:lang w:eastAsia="es-CO"/>
        </w:rPr>
      </w:pPr>
      <w:r w:rsidRPr="00F330E5">
        <w:rPr>
          <w:color w:val="auto"/>
          <w:lang w:eastAsia="es-CO"/>
        </w:rPr>
        <w:t xml:space="preserve">Los ataques con ácido durante los últimos años han sido más frecuentes sobre todo los que son de tipo directo donde hay intención de causar daño el cual es irreversible. Aunque no hay distinción de género, los más recurrentes se presentan contra las mujeres como una forma de represalia de tipo pasional, sentimental, intrafamiliar generalmente por la pareja sentimental de la víctima. </w:t>
      </w:r>
    </w:p>
    <w:p w14:paraId="6DD8538E" w14:textId="77777777" w:rsidR="00E20A9B" w:rsidRPr="00F330E5" w:rsidRDefault="00E20A9B" w:rsidP="00E20A9B">
      <w:pPr>
        <w:jc w:val="both"/>
        <w:rPr>
          <w:color w:val="auto"/>
          <w:lang w:eastAsia="es-CO"/>
        </w:rPr>
      </w:pPr>
    </w:p>
    <w:p w14:paraId="1F0A57CA" w14:textId="77777777" w:rsidR="00E20A9B" w:rsidRPr="00F330E5" w:rsidRDefault="00E20A9B" w:rsidP="00E20A9B">
      <w:pPr>
        <w:jc w:val="both"/>
        <w:rPr>
          <w:color w:val="auto"/>
          <w:lang w:eastAsia="es-CO"/>
        </w:rPr>
      </w:pPr>
      <w:r w:rsidRPr="00F330E5">
        <w:rPr>
          <w:color w:val="auto"/>
          <w:lang w:eastAsia="es-CO"/>
        </w:rPr>
        <w:t>Uno de los casos más recordados de ataque con ácido es el de Natalia Ponce de León en 2014, sin embargo, este desafortunado hecho permitió la promulgación de la Ley 1773 de 2016 que tipifica los ataques con ácido como un delito autónomo, además de endurecer las sanciones a los agresores y de eliminar los beneficios como la suspensión condicional de la ejecución de la pena.</w:t>
      </w:r>
    </w:p>
    <w:p w14:paraId="6AD694C1" w14:textId="77777777" w:rsidR="00E20A9B" w:rsidRPr="00F330E5" w:rsidRDefault="00E20A9B" w:rsidP="00E20A9B">
      <w:pPr>
        <w:jc w:val="both"/>
        <w:rPr>
          <w:color w:val="auto"/>
          <w:lang w:eastAsia="es-CO"/>
        </w:rPr>
      </w:pPr>
    </w:p>
    <w:p w14:paraId="4515AF0B" w14:textId="77777777" w:rsidR="00E20A9B" w:rsidRPr="00F330E5" w:rsidRDefault="00E20A9B" w:rsidP="00E20A9B">
      <w:pPr>
        <w:jc w:val="both"/>
        <w:rPr>
          <w:i/>
          <w:color w:val="auto"/>
          <w:lang w:eastAsia="es-CO"/>
        </w:rPr>
      </w:pPr>
      <w:r w:rsidRPr="00F330E5">
        <w:rPr>
          <w:i/>
          <w:color w:val="auto"/>
          <w:lang w:eastAsia="es-CO"/>
        </w:rPr>
        <w:t>Datos de la Secretaría Distrital de la Mujer, recopilados por la Veeduría Distrital, indicaron que entre los años 2018 y 2023 se reportaron 172 personas víctimas de ataques con agentes químicos en Bogotá. De las 172 víctimas, 24 fueron mujeres y once hombres, hechos que fueron catalogados como de violencia intrafamiliar, pues fueron casos donde parejas o exparejas estuvieron involucrados. (…)  El informe así mismo concluyó que durante el mismo periodo de tiempo, el 70% de las mujeres víctimas de ataques con agentes químicos sufrieron violencia interpersonal.</w:t>
      </w:r>
    </w:p>
    <w:p w14:paraId="6BE90772" w14:textId="77777777" w:rsidR="00E20A9B" w:rsidRPr="00F330E5" w:rsidRDefault="00E20A9B" w:rsidP="00E20A9B">
      <w:pPr>
        <w:jc w:val="both"/>
        <w:rPr>
          <w:i/>
          <w:color w:val="auto"/>
          <w:lang w:eastAsia="es-CO"/>
        </w:rPr>
      </w:pPr>
    </w:p>
    <w:p w14:paraId="65CF8112" w14:textId="77777777" w:rsidR="00E20A9B" w:rsidRPr="00F330E5" w:rsidRDefault="00E20A9B" w:rsidP="00E20A9B">
      <w:pPr>
        <w:pStyle w:val="paragraph"/>
        <w:spacing w:before="0" w:beforeAutospacing="0" w:after="0" w:afterAutospacing="0"/>
        <w:jc w:val="both"/>
        <w:rPr>
          <w:rFonts w:ascii="Arial" w:hAnsi="Arial" w:cs="Arial"/>
          <w:i/>
          <w:lang w:val="es-ES"/>
        </w:rPr>
      </w:pPr>
      <w:r w:rsidRPr="00F330E5">
        <w:rPr>
          <w:rFonts w:ascii="Arial" w:hAnsi="Arial" w:cs="Arial"/>
          <w:i/>
          <w:lang w:val="es-ES"/>
        </w:rPr>
        <w:t>“Para el mismo periodo, nueve de cada diez hombres y siete de cada diez mujeres sufrieron ataques, resultado, de violencia interpersonal, una agresión catalogada como intencional y perpetrada por un tercero fuera del núcleo familiar”, detalló la entidad de control.</w:t>
      </w:r>
    </w:p>
    <w:p w14:paraId="649775AA" w14:textId="77777777" w:rsidR="00E20A9B" w:rsidRPr="00F330E5" w:rsidRDefault="00E20A9B" w:rsidP="00E20A9B">
      <w:pPr>
        <w:pStyle w:val="paragraph"/>
        <w:spacing w:before="0" w:beforeAutospacing="0" w:after="0" w:afterAutospacing="0"/>
        <w:jc w:val="both"/>
        <w:rPr>
          <w:rFonts w:ascii="Arial" w:hAnsi="Arial" w:cs="Arial"/>
          <w:i/>
          <w:u w:val="single"/>
          <w:lang w:val="es-ES"/>
        </w:rPr>
      </w:pPr>
      <w:r w:rsidRPr="00F330E5">
        <w:rPr>
          <w:rFonts w:ascii="Arial" w:hAnsi="Arial" w:cs="Arial"/>
          <w:i/>
          <w:lang w:val="es-ES"/>
        </w:rPr>
        <w:t xml:space="preserve">Frente al panorama, </w:t>
      </w:r>
      <w:r w:rsidRPr="00F330E5">
        <w:rPr>
          <w:rFonts w:ascii="Arial" w:hAnsi="Arial" w:cs="Arial"/>
          <w:i/>
          <w:u w:val="single"/>
          <w:lang w:val="es-ES"/>
        </w:rPr>
        <w:t>la veedora distrital, Viviana Barberena, indicó que “existen importantes diferencias en los registros que tienen las diferentes entidades de la administración sobre los casos reportados lo que dificulta el direccionamiento de labores de prevención y seguimiento de esta problemática”</w:t>
      </w:r>
      <w:r w:rsidRPr="00F330E5">
        <w:rPr>
          <w:rStyle w:val="Refdenotaalpie"/>
          <w:rFonts w:ascii="Arial" w:hAnsi="Arial" w:cs="Arial"/>
          <w:i/>
          <w:u w:val="single"/>
          <w:lang w:val="es-ES"/>
        </w:rPr>
        <w:footnoteReference w:id="2"/>
      </w:r>
      <w:r w:rsidRPr="00F330E5">
        <w:rPr>
          <w:rFonts w:ascii="Arial" w:hAnsi="Arial" w:cs="Arial"/>
          <w:i/>
          <w:u w:val="single"/>
          <w:lang w:val="es-ES"/>
        </w:rPr>
        <w:t>.</w:t>
      </w:r>
    </w:p>
    <w:p w14:paraId="2EF730B0" w14:textId="77777777" w:rsidR="00E20A9B" w:rsidRPr="00F330E5" w:rsidRDefault="00E20A9B" w:rsidP="00E20A9B">
      <w:pPr>
        <w:pStyle w:val="paragraph"/>
        <w:spacing w:before="0" w:beforeAutospacing="0" w:after="0" w:afterAutospacing="0"/>
        <w:jc w:val="both"/>
        <w:rPr>
          <w:rFonts w:ascii="Arial" w:hAnsi="Arial" w:cs="Arial"/>
          <w:i/>
          <w:u w:val="single"/>
          <w:lang w:val="es-ES"/>
        </w:rPr>
      </w:pPr>
    </w:p>
    <w:p w14:paraId="2189EAB4" w14:textId="77777777" w:rsidR="00E20A9B" w:rsidRPr="00F330E5" w:rsidRDefault="00E20A9B" w:rsidP="00E20A9B">
      <w:pPr>
        <w:pStyle w:val="Prrafodelista"/>
        <w:spacing w:line="276" w:lineRule="auto"/>
        <w:ind w:left="720"/>
        <w:jc w:val="both"/>
        <w:rPr>
          <w:b/>
          <w:color w:val="auto"/>
          <w:lang w:eastAsia="es-CO"/>
        </w:rPr>
      </w:pPr>
    </w:p>
    <w:p w14:paraId="42FDBD1A" w14:textId="77777777" w:rsidR="00E20A9B" w:rsidRPr="00F330E5" w:rsidRDefault="00E20A9B" w:rsidP="00E20A9B">
      <w:pPr>
        <w:pStyle w:val="Prrafodelista"/>
        <w:numPr>
          <w:ilvl w:val="0"/>
          <w:numId w:val="10"/>
        </w:numPr>
        <w:spacing w:line="276" w:lineRule="auto"/>
        <w:jc w:val="both"/>
        <w:rPr>
          <w:b/>
          <w:color w:val="auto"/>
          <w:lang w:eastAsia="es-CO"/>
        </w:rPr>
      </w:pPr>
      <w:r w:rsidRPr="00F330E5">
        <w:rPr>
          <w:b/>
          <w:color w:val="auto"/>
          <w:lang w:eastAsia="es-CO"/>
        </w:rPr>
        <w:t>Quemados con pólvora en Bogotá</w:t>
      </w:r>
    </w:p>
    <w:p w14:paraId="1B4C73C0" w14:textId="77777777" w:rsidR="00E20A9B" w:rsidRPr="00F330E5" w:rsidRDefault="00E20A9B" w:rsidP="00E20A9B">
      <w:pPr>
        <w:jc w:val="both"/>
      </w:pPr>
    </w:p>
    <w:p w14:paraId="5F015667" w14:textId="77777777" w:rsidR="00E20A9B" w:rsidRPr="00F330E5" w:rsidRDefault="00E20A9B" w:rsidP="00E20A9B">
      <w:pPr>
        <w:jc w:val="both"/>
      </w:pPr>
      <w:r w:rsidRPr="00F330E5">
        <w:t xml:space="preserve">La siguiente gráfica permite evidenciar el incremento en el número de lesiones por pólvora en Bogotá durante las temporadas de fin de año, donde se evidencia una </w:t>
      </w:r>
      <w:r w:rsidRPr="00F330E5">
        <w:lastRenderedPageBreak/>
        <w:t xml:space="preserve">tendencia creciente. El aumento entre los cortes 2023-2024 respecto a 2024-2025 presenta un incremento del 15.87% al pasar de 126 a 146 casos sin embargo es preocupante comparar la cantidad de lesiones presentadas en el corte 2022-2023 frente a 2024-2025 ya que allí el aumento es del 48.98% es decir se pasó de 98 a 146 casos. </w:t>
      </w:r>
    </w:p>
    <w:p w14:paraId="515C9C76" w14:textId="77777777" w:rsidR="00E20A9B" w:rsidRPr="00F330E5" w:rsidRDefault="00E20A9B" w:rsidP="00E20A9B">
      <w:pPr>
        <w:jc w:val="both"/>
      </w:pPr>
    </w:p>
    <w:p w14:paraId="68EB3C0C" w14:textId="77777777" w:rsidR="00E20A9B" w:rsidRPr="00F330E5" w:rsidRDefault="00E20A9B" w:rsidP="00E20A9B">
      <w:r w:rsidRPr="00F330E5">
        <w:rPr>
          <w:noProof/>
          <w:lang w:val="es-419" w:eastAsia="es-419"/>
        </w:rPr>
        <w:drawing>
          <wp:inline distT="0" distB="0" distL="0" distR="0" wp14:anchorId="1CDC36C1" wp14:editId="2CE2E058">
            <wp:extent cx="5605780" cy="2687320"/>
            <wp:effectExtent l="19050" t="19050" r="13970" b="17780"/>
            <wp:docPr id="2" name="Imagen 2" descr="Imagen que contiene Interfaz de usuario gráfic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magen que contiene Interfaz de usuario gráfica&#10;&#10;El contenido generado por IA puede ser incorrect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5780" cy="2687320"/>
                    </a:xfrm>
                    <a:prstGeom prst="rect">
                      <a:avLst/>
                    </a:prstGeom>
                    <a:noFill/>
                    <a:ln>
                      <a:solidFill>
                        <a:schemeClr val="tx1"/>
                      </a:solidFill>
                    </a:ln>
                  </pic:spPr>
                </pic:pic>
              </a:graphicData>
            </a:graphic>
          </wp:inline>
        </w:drawing>
      </w:r>
    </w:p>
    <w:p w14:paraId="236B88C1" w14:textId="77777777" w:rsidR="00E20A9B" w:rsidRPr="00F330E5" w:rsidRDefault="00E20A9B" w:rsidP="00E20A9B">
      <w:pPr>
        <w:rPr>
          <w:color w:val="auto"/>
        </w:rPr>
      </w:pPr>
      <w:r w:rsidRPr="00F330E5">
        <w:rPr>
          <w:color w:val="auto"/>
        </w:rPr>
        <w:t xml:space="preserve">Fuente: </w:t>
      </w:r>
      <w:hyperlink r:id="rId11" w:history="1">
        <w:r w:rsidRPr="00F330E5">
          <w:rPr>
            <w:rStyle w:val="Hipervnculo"/>
            <w:rFonts w:cs="Arial"/>
          </w:rPr>
          <w:t>https://saludata.saludcapital.gov.co/osb/indicadores/lesiones-por-polvora/</w:t>
        </w:r>
      </w:hyperlink>
      <w:r w:rsidRPr="00F330E5">
        <w:rPr>
          <w:color w:val="auto"/>
        </w:rPr>
        <w:t xml:space="preserve"> </w:t>
      </w:r>
    </w:p>
    <w:p w14:paraId="6F6A1945" w14:textId="77777777" w:rsidR="00E20A9B" w:rsidRPr="00F330E5" w:rsidRDefault="00E20A9B" w:rsidP="00E20A9B">
      <w:pPr>
        <w:jc w:val="both"/>
      </w:pPr>
    </w:p>
    <w:p w14:paraId="54585F01" w14:textId="77777777" w:rsidR="00E20A9B" w:rsidRPr="00F330E5" w:rsidRDefault="00E20A9B" w:rsidP="00E20A9B">
      <w:pPr>
        <w:jc w:val="both"/>
      </w:pPr>
      <w:r w:rsidRPr="00F330E5">
        <w:t xml:space="preserve">En cuanto a las localidades que concentran el mayor número de caso por lesiones con pólvora en la ciudad se encuentran Suba, Kennedy, Ciudad Bolívar, Bosa y Usme. En cuanto al ciclo vital preocupa el hecho que el número de casos de lesionados por pólvora en primera infancia presente un incremento del 225% al pasar de 4 casos en el corte 2023-2024 a 13 casos en el corte 2024-2025 y es preocupante que mientras en el corte 2023-2024 se presentó 1 caso de menores lesionados por pólvora en compañía de un adulto bajo los efectos del alcohol a 4 casos en el corte 2024-2025. </w:t>
      </w:r>
    </w:p>
    <w:p w14:paraId="5D419BC7" w14:textId="77777777" w:rsidR="00E20A9B" w:rsidRPr="00F330E5" w:rsidRDefault="00E20A9B" w:rsidP="00E20A9B">
      <w:pPr>
        <w:rPr>
          <w:color w:val="auto"/>
        </w:rPr>
      </w:pPr>
    </w:p>
    <w:p w14:paraId="39020925" w14:textId="77777777" w:rsidR="00E20A9B" w:rsidRPr="00F330E5" w:rsidRDefault="00E20A9B" w:rsidP="00E20A9B">
      <w:pPr>
        <w:rPr>
          <w:color w:val="auto"/>
        </w:rPr>
      </w:pPr>
    </w:p>
    <w:p w14:paraId="3D03E614" w14:textId="77777777" w:rsidR="00E20A9B" w:rsidRPr="00F330E5" w:rsidRDefault="00E20A9B" w:rsidP="00E20A9B">
      <w:pPr>
        <w:jc w:val="center"/>
      </w:pPr>
      <w:r w:rsidRPr="00F330E5">
        <w:rPr>
          <w:noProof/>
          <w:lang w:val="es-419" w:eastAsia="es-419"/>
        </w:rPr>
        <w:lastRenderedPageBreak/>
        <w:drawing>
          <wp:inline distT="0" distB="0" distL="0" distR="0" wp14:anchorId="31974DE0" wp14:editId="752D47D7">
            <wp:extent cx="4204970" cy="2238375"/>
            <wp:effectExtent l="19050" t="19050" r="24130" b="28575"/>
            <wp:docPr id="3" name="Imagen 3" descr="Interfaz de usuario gráfica,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Interfaz de usuario gráfica, Aplicación&#10;&#10;El contenido generado por IA puede ser incorrecto."/>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28105" cy="2250690"/>
                    </a:xfrm>
                    <a:prstGeom prst="rect">
                      <a:avLst/>
                    </a:prstGeom>
                    <a:noFill/>
                    <a:ln>
                      <a:solidFill>
                        <a:schemeClr val="tx1"/>
                      </a:solidFill>
                    </a:ln>
                  </pic:spPr>
                </pic:pic>
              </a:graphicData>
            </a:graphic>
          </wp:inline>
        </w:drawing>
      </w:r>
    </w:p>
    <w:p w14:paraId="24982E20" w14:textId="6B732FF6" w:rsidR="00E20A9B" w:rsidRPr="00F330E5" w:rsidRDefault="00E20A9B" w:rsidP="00E20A9B">
      <w:r w:rsidRPr="00F330E5">
        <w:rPr>
          <w:color w:val="auto"/>
        </w:rPr>
        <w:t xml:space="preserve">Fuente: </w:t>
      </w:r>
      <w:hyperlink r:id="rId13" w:history="1">
        <w:r w:rsidRPr="00F330E5">
          <w:rPr>
            <w:rStyle w:val="Hipervnculo"/>
            <w:rFonts w:cs="Arial"/>
          </w:rPr>
          <w:t>https://saludata.saludcapital.gov.co/osb/indicadores/lesiones-por-polvora/</w:t>
        </w:r>
      </w:hyperlink>
    </w:p>
    <w:p w14:paraId="7D2E492E" w14:textId="77777777" w:rsidR="00E20A9B" w:rsidRPr="00F330E5" w:rsidRDefault="00E20A9B" w:rsidP="00E20A9B">
      <w:pPr>
        <w:rPr>
          <w:color w:val="auto"/>
        </w:rPr>
      </w:pPr>
    </w:p>
    <w:p w14:paraId="73BA5574" w14:textId="77777777" w:rsidR="00E20A9B" w:rsidRPr="00F330E5" w:rsidRDefault="00E20A9B" w:rsidP="00E20A9B">
      <w:pPr>
        <w:jc w:val="both"/>
      </w:pPr>
      <w:r w:rsidRPr="00F330E5">
        <w:t>En cuanto a las partes del cuerpo que sufren mayor afectación se encuentran las manos y la cara y piernas. Los tipos de lesiones que ocasionó el uso de pólvora se concentra en mayor proporción en quemaduras 97%, seguida por laceraciones 48%, 18% contusiones y 9% por daño ocular. Los artefactos que más daños causan son los voladores, totes y volcanes y la actividad causante de la lesión es por su manipulación 53% y 40% por ser observador.</w:t>
      </w:r>
    </w:p>
    <w:p w14:paraId="4E6D4B23" w14:textId="77777777" w:rsidR="00E20A9B" w:rsidRPr="00F330E5" w:rsidRDefault="00E20A9B" w:rsidP="00E20A9B">
      <w:pPr>
        <w:jc w:val="both"/>
      </w:pPr>
    </w:p>
    <w:p w14:paraId="51E84B44" w14:textId="77777777" w:rsidR="00E20A9B" w:rsidRPr="00F330E5" w:rsidRDefault="00E20A9B" w:rsidP="00E20A9B">
      <w:pPr>
        <w:jc w:val="center"/>
      </w:pPr>
      <w:r w:rsidRPr="00F330E5">
        <w:rPr>
          <w:noProof/>
          <w:lang w:val="es-419" w:eastAsia="es-419"/>
        </w:rPr>
        <w:drawing>
          <wp:inline distT="0" distB="0" distL="0" distR="0" wp14:anchorId="75DCFF1F" wp14:editId="00FCF991">
            <wp:extent cx="4168880" cy="2650490"/>
            <wp:effectExtent l="19050" t="19050" r="22225" b="16510"/>
            <wp:docPr id="4" name="Imagen 4" descr="Interfaz de usuario gráfic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Interfaz de usuario gráfica&#10;&#10;El contenido generado por IA puede ser incorrecto."/>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84364" cy="2660335"/>
                    </a:xfrm>
                    <a:prstGeom prst="rect">
                      <a:avLst/>
                    </a:prstGeom>
                    <a:noFill/>
                    <a:ln>
                      <a:solidFill>
                        <a:schemeClr val="tx1"/>
                      </a:solidFill>
                    </a:ln>
                  </pic:spPr>
                </pic:pic>
              </a:graphicData>
            </a:graphic>
          </wp:inline>
        </w:drawing>
      </w:r>
    </w:p>
    <w:p w14:paraId="579C4977" w14:textId="5C0E81E4" w:rsidR="00E20A9B" w:rsidRPr="00F330E5" w:rsidRDefault="00E20A9B" w:rsidP="00E20A9B">
      <w:r w:rsidRPr="00F330E5">
        <w:rPr>
          <w:color w:val="auto"/>
        </w:rPr>
        <w:t xml:space="preserve">Fuente: </w:t>
      </w:r>
      <w:hyperlink r:id="rId15" w:history="1">
        <w:r w:rsidRPr="00F330E5">
          <w:rPr>
            <w:rStyle w:val="Hipervnculo"/>
            <w:rFonts w:cs="Arial"/>
          </w:rPr>
          <w:t>https://saludata.saludcapital.gov.co/osb/indicadores/lesiones-por-polvora/</w:t>
        </w:r>
      </w:hyperlink>
    </w:p>
    <w:p w14:paraId="3D1991B5" w14:textId="77777777" w:rsidR="00E20A9B" w:rsidRPr="00F330E5" w:rsidRDefault="00E20A9B" w:rsidP="00E20A9B">
      <w:pPr>
        <w:ind w:left="708"/>
        <w:rPr>
          <w:color w:val="auto"/>
        </w:rPr>
      </w:pPr>
    </w:p>
    <w:p w14:paraId="21BB4B4D" w14:textId="77777777" w:rsidR="00E20A9B" w:rsidRPr="00F330E5" w:rsidRDefault="00E20A9B" w:rsidP="00E20A9B">
      <w:pPr>
        <w:pStyle w:val="Prrafodelista"/>
        <w:numPr>
          <w:ilvl w:val="0"/>
          <w:numId w:val="10"/>
        </w:numPr>
        <w:jc w:val="both"/>
      </w:pPr>
      <w:r w:rsidRPr="00F330E5">
        <w:rPr>
          <w:b/>
          <w:bCs/>
          <w:lang w:val="es-CO"/>
        </w:rPr>
        <w:lastRenderedPageBreak/>
        <w:t>Personas lesionadas en Bogotá por agentes que causan quemaduras</w:t>
      </w:r>
    </w:p>
    <w:p w14:paraId="2944801F" w14:textId="77777777" w:rsidR="00E20A9B" w:rsidRPr="00F330E5" w:rsidRDefault="00E20A9B" w:rsidP="00E20A9B">
      <w:pPr>
        <w:jc w:val="both"/>
      </w:pPr>
    </w:p>
    <w:p w14:paraId="43F3F31D" w14:textId="77777777" w:rsidR="00E20A9B" w:rsidRPr="00F330E5" w:rsidRDefault="00E20A9B" w:rsidP="00E20A9B">
      <w:pPr>
        <w:jc w:val="both"/>
      </w:pPr>
      <w:r w:rsidRPr="00F330E5">
        <w:t>Con el fin de recopilar más evidencias se consultó la información estadística referente a lesiones personales ocasionadas por agentes que causan quemaduras en la ciudad reportadas por la Policía Metropolitana para el año 2023 y 2024 con corte al mes de marzo la cual indica que la mayoría de lesiones se originan por ácido y combustibles.</w:t>
      </w:r>
    </w:p>
    <w:p w14:paraId="38B6F0E1" w14:textId="77777777" w:rsidR="00E20A9B" w:rsidRPr="00F330E5" w:rsidRDefault="00E20A9B" w:rsidP="00E20A9B">
      <w:pPr>
        <w:jc w:val="both"/>
      </w:pPr>
    </w:p>
    <w:p w14:paraId="47ADE03A" w14:textId="77777777" w:rsidR="00E20A9B" w:rsidRPr="00F330E5" w:rsidRDefault="00E20A9B" w:rsidP="00E20A9B">
      <w:pPr>
        <w:jc w:val="center"/>
      </w:pPr>
      <w:r w:rsidRPr="00F330E5">
        <w:rPr>
          <w:noProof/>
          <w:lang w:val="es-419" w:eastAsia="es-419"/>
        </w:rPr>
        <w:drawing>
          <wp:inline distT="0" distB="0" distL="0" distR="0" wp14:anchorId="041D1FC6" wp14:editId="61474830">
            <wp:extent cx="4198620" cy="1866900"/>
            <wp:effectExtent l="0" t="0" r="11430" b="0"/>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3F966AB" w14:textId="56045CC7" w:rsidR="00E20A9B" w:rsidRPr="00F330E5" w:rsidRDefault="00E20A9B" w:rsidP="00E20A9B">
      <w:pPr>
        <w:jc w:val="both"/>
      </w:pPr>
      <w:r w:rsidRPr="00F330E5">
        <w:rPr>
          <w:color w:val="auto"/>
        </w:rPr>
        <w:t>Fuente: Elaboración propia con base en información estadística de la Policía Metropolitana de Bogotá.</w:t>
      </w:r>
    </w:p>
    <w:p w14:paraId="01E4795A" w14:textId="77777777" w:rsidR="00E20A9B" w:rsidRPr="00F330E5" w:rsidRDefault="00E20A9B" w:rsidP="00E20A9B">
      <w:pPr>
        <w:spacing w:line="276" w:lineRule="auto"/>
        <w:jc w:val="both"/>
        <w:rPr>
          <w:b/>
          <w:i/>
          <w:iCs/>
          <w:color w:val="auto"/>
          <w:lang w:val="es-CO" w:eastAsia="es-CO"/>
        </w:rPr>
      </w:pPr>
    </w:p>
    <w:p w14:paraId="35103342" w14:textId="77777777" w:rsidR="00E20A9B" w:rsidRPr="00F330E5" w:rsidRDefault="00E20A9B" w:rsidP="00E20A9B">
      <w:pPr>
        <w:pStyle w:val="Prrafodelista"/>
        <w:numPr>
          <w:ilvl w:val="0"/>
          <w:numId w:val="10"/>
        </w:numPr>
        <w:jc w:val="both"/>
        <w:rPr>
          <w:b/>
        </w:rPr>
      </w:pPr>
      <w:r w:rsidRPr="00F330E5">
        <w:rPr>
          <w:b/>
        </w:rPr>
        <w:t>Accidentes domésticos en menores de 11 años en Bogotá</w:t>
      </w:r>
    </w:p>
    <w:p w14:paraId="498B4258" w14:textId="77777777" w:rsidR="00E20A9B" w:rsidRPr="00F330E5" w:rsidRDefault="00E20A9B" w:rsidP="00E20A9B">
      <w:pPr>
        <w:pStyle w:val="Prrafodelista"/>
        <w:ind w:left="720"/>
        <w:jc w:val="both"/>
      </w:pPr>
    </w:p>
    <w:p w14:paraId="150D4B08" w14:textId="77777777" w:rsidR="00E20A9B" w:rsidRPr="00F330E5" w:rsidRDefault="00E20A9B" w:rsidP="00E20A9B">
      <w:pPr>
        <w:spacing w:line="276" w:lineRule="auto"/>
        <w:jc w:val="center"/>
        <w:rPr>
          <w:color w:val="auto"/>
        </w:rPr>
      </w:pPr>
      <w:r w:rsidRPr="00F330E5">
        <w:rPr>
          <w:iCs/>
          <w:noProof/>
          <w:color w:val="auto"/>
          <w:lang w:val="es-419" w:eastAsia="es-419"/>
        </w:rPr>
        <w:drawing>
          <wp:inline distT="0" distB="0" distL="0" distR="0" wp14:anchorId="21C545A6" wp14:editId="5D43C805">
            <wp:extent cx="4210050" cy="2343627"/>
            <wp:effectExtent l="19050" t="19050" r="19050" b="19050"/>
            <wp:docPr id="5" name="Imagen 5" descr="Escala de tiem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Escala de tiempo&#10;&#10;El contenido generado por IA puede ser incorrecto."/>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32234" cy="2355977"/>
                    </a:xfrm>
                    <a:prstGeom prst="rect">
                      <a:avLst/>
                    </a:prstGeom>
                    <a:noFill/>
                    <a:ln>
                      <a:solidFill>
                        <a:schemeClr val="tx1"/>
                      </a:solidFill>
                    </a:ln>
                  </pic:spPr>
                </pic:pic>
              </a:graphicData>
            </a:graphic>
          </wp:inline>
        </w:drawing>
      </w:r>
    </w:p>
    <w:p w14:paraId="1F49B3E1" w14:textId="223637F4" w:rsidR="00E20A9B" w:rsidRPr="00F330E5" w:rsidRDefault="00E20A9B" w:rsidP="00E20A9B">
      <w:pPr>
        <w:spacing w:line="276" w:lineRule="auto"/>
        <w:rPr>
          <w:iCs/>
          <w:color w:val="auto"/>
          <w:lang w:val="es-CO" w:eastAsia="es-CO"/>
        </w:rPr>
      </w:pPr>
      <w:r w:rsidRPr="00F330E5">
        <w:rPr>
          <w:color w:val="auto"/>
        </w:rPr>
        <w:t xml:space="preserve">Fuente: </w:t>
      </w:r>
      <w:hyperlink r:id="rId18" w:history="1">
        <w:r w:rsidRPr="00F330E5">
          <w:rPr>
            <w:rStyle w:val="Hipervnculo"/>
            <w:rFonts w:cs="Arial"/>
          </w:rPr>
          <w:t>https://saludata.saludcapital.gov.co/osb/indicadores/accidentes-domesticos/</w:t>
        </w:r>
      </w:hyperlink>
      <w:r w:rsidRPr="00F330E5">
        <w:rPr>
          <w:color w:val="auto"/>
        </w:rPr>
        <w:t xml:space="preserve"> </w:t>
      </w:r>
    </w:p>
    <w:p w14:paraId="6986817F" w14:textId="77777777" w:rsidR="00E20A9B" w:rsidRPr="00F330E5" w:rsidRDefault="00E20A9B" w:rsidP="00E20A9B">
      <w:pPr>
        <w:spacing w:line="276" w:lineRule="auto"/>
        <w:jc w:val="both"/>
        <w:rPr>
          <w:color w:val="auto"/>
        </w:rPr>
      </w:pPr>
    </w:p>
    <w:p w14:paraId="6822DF45" w14:textId="77777777" w:rsidR="00E20A9B" w:rsidRPr="00F330E5" w:rsidRDefault="00E20A9B" w:rsidP="00E20A9B">
      <w:pPr>
        <w:spacing w:line="276" w:lineRule="auto"/>
        <w:jc w:val="both"/>
        <w:rPr>
          <w:color w:val="auto"/>
          <w:shd w:val="clear" w:color="auto" w:fill="FFFFFF"/>
        </w:rPr>
      </w:pPr>
      <w:r w:rsidRPr="00F330E5">
        <w:rPr>
          <w:iCs/>
          <w:color w:val="auto"/>
          <w:lang w:val="es-CO" w:eastAsia="es-CO"/>
        </w:rPr>
        <w:t xml:space="preserve">La información estadística de la Secretaría Distrital de Salud evidencia como las quemaduras ocupan la tercera causa de accidentes domésticos en menores de 11 años con 1.080 casos proyectados para 2024, lo cual es un llamado para medir la efectividad en el cumplimiento del Acuerdo 867 de 2023 y como se presenta en esta iniciativa, robustecer este Acuerdo de ciudad con la incorporación de un </w:t>
      </w:r>
      <w:r w:rsidRPr="00F330E5">
        <w:rPr>
          <w:b/>
          <w:bCs/>
          <w:i/>
          <w:iCs/>
          <w:color w:val="auto"/>
        </w:rPr>
        <w:t xml:space="preserve">sistema único de registro de pacientes quemados que permita recopilar y </w:t>
      </w:r>
      <w:r w:rsidRPr="00F330E5">
        <w:rPr>
          <w:color w:val="auto"/>
        </w:rPr>
        <w:t>proporcionar información útil sobre la prevalencia, evolución, resultados y necesidades de esta población y prevenir y minimizar la ocurrencia de estos eventos</w:t>
      </w:r>
      <w:r w:rsidRPr="00F330E5">
        <w:rPr>
          <w:color w:val="auto"/>
          <w:shd w:val="clear" w:color="auto" w:fill="FFFFFF"/>
        </w:rPr>
        <w:t>.</w:t>
      </w:r>
    </w:p>
    <w:p w14:paraId="6E387699" w14:textId="77777777" w:rsidR="00473DBF" w:rsidRPr="00F330E5" w:rsidRDefault="00473DBF" w:rsidP="00E20A9B">
      <w:pPr>
        <w:spacing w:line="276" w:lineRule="auto"/>
        <w:jc w:val="both"/>
        <w:rPr>
          <w:color w:val="auto"/>
          <w:shd w:val="clear" w:color="auto" w:fill="FFFFFF"/>
        </w:rPr>
      </w:pPr>
    </w:p>
    <w:p w14:paraId="0CB993B9" w14:textId="68545B65" w:rsidR="00473DBF" w:rsidRPr="00F330E5" w:rsidRDefault="00473DBF" w:rsidP="00E20A9B">
      <w:pPr>
        <w:spacing w:line="276" w:lineRule="auto"/>
        <w:jc w:val="both"/>
        <w:rPr>
          <w:color w:val="auto"/>
          <w:shd w:val="clear" w:color="auto" w:fill="FFFFFF"/>
        </w:rPr>
      </w:pPr>
      <w:r w:rsidRPr="00F330E5">
        <w:rPr>
          <w:color w:val="auto"/>
          <w:shd w:val="clear" w:color="auto" w:fill="FFFFFF"/>
        </w:rPr>
        <w:t xml:space="preserve">Como se ha puesto de presente en la justificación de esta iniciativa, las quemaduras desafortunadamente han sido parte del diario vivir de muchas personas, ya sea por ataques con ácido, uso indebido de pólvora o accidentes domésticos. Todos los años evidenciamos un aumento significativo en lesiones causadas por quemaduras, principalmente en el marco de festividades y celebraciones, la problemática ha sido constante y perpetua, en el sentido que no se evidencian soluciones efectivas e integrales por parte del Distrito para disminuir y erradicar los accidentes, por el contrario, cada año los casos aumentan sin contar la disminución causada en la pandemia. </w:t>
      </w:r>
    </w:p>
    <w:p w14:paraId="33E45DA5" w14:textId="77777777" w:rsidR="00473DBF" w:rsidRPr="00F330E5" w:rsidRDefault="00473DBF" w:rsidP="00E20A9B">
      <w:pPr>
        <w:spacing w:line="276" w:lineRule="auto"/>
        <w:jc w:val="both"/>
        <w:rPr>
          <w:color w:val="auto"/>
          <w:shd w:val="clear" w:color="auto" w:fill="FFFFFF"/>
        </w:rPr>
      </w:pPr>
    </w:p>
    <w:p w14:paraId="45B0354B" w14:textId="32FFB98F" w:rsidR="00473DBF" w:rsidRPr="00F330E5" w:rsidRDefault="00473DBF" w:rsidP="00E20A9B">
      <w:pPr>
        <w:spacing w:line="276" w:lineRule="auto"/>
        <w:jc w:val="both"/>
        <w:rPr>
          <w:color w:val="auto"/>
          <w:shd w:val="clear" w:color="auto" w:fill="FFFFFF"/>
        </w:rPr>
      </w:pPr>
      <w:r w:rsidRPr="00F330E5">
        <w:rPr>
          <w:color w:val="auto"/>
          <w:shd w:val="clear" w:color="auto" w:fill="FFFFFF"/>
        </w:rPr>
        <w:t xml:space="preserve">Es por esto </w:t>
      </w:r>
      <w:r w:rsidR="00F330E5" w:rsidRPr="00F330E5">
        <w:rPr>
          <w:color w:val="auto"/>
          <w:shd w:val="clear" w:color="auto" w:fill="FFFFFF"/>
        </w:rPr>
        <w:t>por lo que</w:t>
      </w:r>
      <w:r w:rsidRPr="00F330E5">
        <w:rPr>
          <w:color w:val="auto"/>
          <w:shd w:val="clear" w:color="auto" w:fill="FFFFFF"/>
        </w:rPr>
        <w:t xml:space="preserve"> es importante contar con </w:t>
      </w:r>
      <w:r w:rsidR="00F330E5" w:rsidRPr="00F330E5">
        <w:rPr>
          <w:color w:val="auto"/>
          <w:shd w:val="clear" w:color="auto" w:fill="FFFFFF"/>
        </w:rPr>
        <w:t>políticas públicas innovadoras y modernas que busquen sanear los imperfectos de propuestas anteriores que no han sido las más adecuadas para solucionar la problemática del aumento desproporcionado en los casos de quemaduras durante los últimos años.</w:t>
      </w:r>
    </w:p>
    <w:p w14:paraId="228E2F92" w14:textId="77777777" w:rsidR="00CD2C3D" w:rsidRPr="00F330E5" w:rsidRDefault="00CD2C3D"/>
    <w:p w14:paraId="43C3C796" w14:textId="77777777" w:rsidR="00CD2C3D" w:rsidRPr="00F330E5" w:rsidRDefault="00CD2C3D"/>
    <w:p w14:paraId="48CC8D46" w14:textId="77777777" w:rsidR="00CD2C3D" w:rsidRPr="00F330E5" w:rsidRDefault="000A4225">
      <w:pPr>
        <w:numPr>
          <w:ilvl w:val="0"/>
          <w:numId w:val="3"/>
        </w:numPr>
      </w:pPr>
      <w:r w:rsidRPr="00F330E5">
        <w:rPr>
          <w:b/>
          <w:u w:val="single"/>
        </w:rPr>
        <w:t>MARCO JURÍDICO DE LA INICIATIVA</w:t>
      </w:r>
    </w:p>
    <w:p w14:paraId="6A5490B7" w14:textId="77777777" w:rsidR="00CD2C3D" w:rsidRPr="00F330E5" w:rsidRDefault="00CD2C3D">
      <w:pPr>
        <w:jc w:val="both"/>
      </w:pPr>
    </w:p>
    <w:p w14:paraId="7F7ED504" w14:textId="77777777" w:rsidR="00507E6A" w:rsidRPr="00F330E5" w:rsidRDefault="00507E6A" w:rsidP="00507E6A">
      <w:pPr>
        <w:jc w:val="both"/>
        <w:rPr>
          <w:b/>
          <w:bCs/>
          <w:lang w:val="es-CO"/>
        </w:rPr>
      </w:pPr>
      <w:r w:rsidRPr="00F330E5">
        <w:rPr>
          <w:b/>
          <w:bCs/>
          <w:lang w:val="es-CO"/>
        </w:rPr>
        <w:t>Internacional</w:t>
      </w:r>
    </w:p>
    <w:p w14:paraId="17C85203" w14:textId="77777777" w:rsidR="00507E6A" w:rsidRPr="00F330E5" w:rsidRDefault="00507E6A" w:rsidP="00507E6A">
      <w:pPr>
        <w:jc w:val="both"/>
        <w:rPr>
          <w:b/>
          <w:bCs/>
          <w:lang w:val="es-CO"/>
        </w:rPr>
      </w:pPr>
    </w:p>
    <w:p w14:paraId="777ABA7C" w14:textId="77777777" w:rsidR="00507E6A" w:rsidRPr="00F330E5" w:rsidRDefault="00507E6A" w:rsidP="00507E6A">
      <w:pPr>
        <w:jc w:val="both"/>
        <w:rPr>
          <w:lang w:val="es-CO"/>
        </w:rPr>
      </w:pPr>
    </w:p>
    <w:p w14:paraId="6C5ACAC2" w14:textId="77777777" w:rsidR="00507E6A" w:rsidRPr="00F330E5" w:rsidRDefault="00507E6A" w:rsidP="00507E6A">
      <w:pPr>
        <w:jc w:val="both"/>
        <w:rPr>
          <w:b/>
          <w:bCs/>
          <w:lang w:val="es-CO"/>
        </w:rPr>
      </w:pPr>
      <w:r w:rsidRPr="00F330E5">
        <w:rPr>
          <w:b/>
          <w:bCs/>
          <w:lang w:val="es-CO"/>
        </w:rPr>
        <w:t>Constitución Política de la República de Colombia</w:t>
      </w:r>
    </w:p>
    <w:p w14:paraId="13623349" w14:textId="77777777" w:rsidR="00507E6A" w:rsidRPr="00F330E5" w:rsidRDefault="00507E6A" w:rsidP="00507E6A">
      <w:pPr>
        <w:jc w:val="both"/>
        <w:rPr>
          <w:b/>
          <w:bCs/>
          <w:lang w:val="es-CO"/>
        </w:rPr>
      </w:pPr>
    </w:p>
    <w:p w14:paraId="127B010B" w14:textId="0F3636C4" w:rsidR="00F330E5" w:rsidRPr="00F330E5" w:rsidRDefault="00F330E5" w:rsidP="00F330E5">
      <w:pPr>
        <w:pStyle w:val="Prrafodelista"/>
        <w:numPr>
          <w:ilvl w:val="0"/>
          <w:numId w:val="11"/>
        </w:numPr>
        <w:spacing w:before="100" w:beforeAutospacing="1" w:after="100" w:afterAutospacing="1"/>
        <w:jc w:val="both"/>
        <w:rPr>
          <w:iCs/>
          <w:color w:val="auto"/>
          <w:lang w:val="es-CO" w:eastAsia="es-CO"/>
        </w:rPr>
      </w:pPr>
      <w:r w:rsidRPr="00F330E5">
        <w:rPr>
          <w:b/>
          <w:iCs/>
          <w:color w:val="auto"/>
          <w:lang w:val="es-CO" w:eastAsia="es-CO"/>
        </w:rPr>
        <w:t>Artículo 2.</w:t>
      </w:r>
      <w:r w:rsidRPr="00F330E5">
        <w:rPr>
          <w:iCs/>
          <w:color w:val="auto"/>
          <w:lang w:val="es-CO" w:eastAsia="es-CO"/>
        </w:rPr>
        <w:t xml:space="preserve"> Son fines esenciales del Estado: servir a la comunidad, promover la prosperidad general y garantizar la efectividad de los principios, derechos </w:t>
      </w:r>
      <w:r w:rsidRPr="00F330E5">
        <w:rPr>
          <w:iCs/>
          <w:color w:val="auto"/>
          <w:lang w:val="es-CO" w:eastAsia="es-CO"/>
        </w:rPr>
        <w:lastRenderedPageBreak/>
        <w:t>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w:t>
      </w:r>
    </w:p>
    <w:p w14:paraId="13E3C217" w14:textId="77777777" w:rsidR="00F330E5" w:rsidRPr="00F330E5" w:rsidRDefault="00F330E5" w:rsidP="00F330E5">
      <w:pPr>
        <w:spacing w:before="100" w:beforeAutospacing="1" w:after="100" w:afterAutospacing="1"/>
        <w:ind w:left="708"/>
        <w:jc w:val="both"/>
        <w:rPr>
          <w:iCs/>
          <w:color w:val="auto"/>
          <w:lang w:val="es-CO" w:eastAsia="es-CO"/>
        </w:rPr>
      </w:pPr>
      <w:r w:rsidRPr="00F330E5">
        <w:rPr>
          <w:iCs/>
          <w:color w:val="auto"/>
          <w:lang w:val="es-CO" w:eastAsia="es-CO"/>
        </w:rPr>
        <w:t>Las autoridades de la República están instituidas para proteger a todas las personas residentes en Colombia, en su vida, honra, bienes, creencias, y demás derechos y libertades, y para asegurar el cumplimiento de los deberes sociales del Estado y de los particulares.</w:t>
      </w:r>
    </w:p>
    <w:p w14:paraId="23999D96" w14:textId="77777777" w:rsidR="00F330E5" w:rsidRPr="00F330E5" w:rsidRDefault="00F330E5" w:rsidP="00F330E5">
      <w:pPr>
        <w:spacing w:before="100" w:beforeAutospacing="1" w:after="100" w:afterAutospacing="1"/>
        <w:ind w:left="708"/>
        <w:jc w:val="both"/>
        <w:rPr>
          <w:iCs/>
          <w:color w:val="auto"/>
          <w:lang w:val="es-CO" w:eastAsia="es-CO"/>
        </w:rPr>
      </w:pPr>
      <w:r w:rsidRPr="00F330E5">
        <w:rPr>
          <w:iCs/>
          <w:color w:val="auto"/>
          <w:lang w:val="es-CO" w:eastAsia="es-CO"/>
        </w:rPr>
        <w:t>(…)</w:t>
      </w:r>
    </w:p>
    <w:p w14:paraId="573F43EE" w14:textId="77777777" w:rsidR="00F330E5" w:rsidRPr="00F330E5" w:rsidRDefault="00F330E5" w:rsidP="00F330E5">
      <w:pPr>
        <w:pStyle w:val="Prrafodelista"/>
        <w:numPr>
          <w:ilvl w:val="0"/>
          <w:numId w:val="11"/>
        </w:numPr>
        <w:spacing w:before="100" w:beforeAutospacing="1" w:after="100" w:afterAutospacing="1"/>
        <w:jc w:val="both"/>
        <w:rPr>
          <w:iCs/>
          <w:color w:val="auto"/>
        </w:rPr>
      </w:pPr>
      <w:r w:rsidRPr="00F330E5">
        <w:rPr>
          <w:b/>
          <w:iCs/>
          <w:color w:val="auto"/>
          <w:lang w:val="es-CO" w:eastAsia="es-CO"/>
        </w:rPr>
        <w:t>Artículo 44.</w:t>
      </w:r>
      <w:r w:rsidRPr="00F330E5">
        <w:rPr>
          <w:iCs/>
          <w:color w:val="auto"/>
          <w:lang w:val="es-CO" w:eastAsia="es-CO"/>
        </w:rPr>
        <w:t xml:space="preserve"> </w:t>
      </w:r>
      <w:r w:rsidRPr="00F330E5">
        <w:rPr>
          <w:iCs/>
          <w:color w:val="auto"/>
        </w:rPr>
        <w:t>Son derechos fundamentales de los niños: la vida, la integridad física, la salud y la seguridad social, la alimentación equilibrada, su nombre y nacionalidad, tener una familia y no ser separados de ella, el cuidado y amor, la educación y la cultura, la recreación y la libre expresión de su opinión. Serán protegidos contra toda forma de abandono, violencia física o moral, secuestro, venta, abuso sexual, explotación laboral o económica y trabajos riesgosos. Gozarán también de los demás derechos consagrados en la Constitución, en las leyes y en los tratados internacionales ratificados por Colombia.</w:t>
      </w:r>
    </w:p>
    <w:p w14:paraId="311DE365" w14:textId="77777777" w:rsidR="00F330E5" w:rsidRPr="00F330E5" w:rsidRDefault="00F330E5" w:rsidP="00F330E5">
      <w:pPr>
        <w:spacing w:before="100" w:beforeAutospacing="1" w:after="100" w:afterAutospacing="1"/>
        <w:ind w:left="708"/>
        <w:jc w:val="both"/>
        <w:rPr>
          <w:iCs/>
          <w:color w:val="auto"/>
          <w:lang w:val="es-CO" w:eastAsia="es-CO"/>
        </w:rPr>
      </w:pPr>
      <w:r w:rsidRPr="00F330E5">
        <w:rPr>
          <w:iCs/>
          <w:color w:val="auto"/>
          <w:lang w:val="es-CO" w:eastAsia="es-CO"/>
        </w:rPr>
        <w:t>La familia, la sociedad y el Estado tienen la obligación de asistir y proteger al niño para garantizar su desarrollo armónico e integral y el ejercicio pleno de sus derechos. Cualquier persona puede exigir de la autoridad competente su cumplimiento y la sanción de los infractores.</w:t>
      </w:r>
    </w:p>
    <w:p w14:paraId="62A95CAD" w14:textId="77777777" w:rsidR="00F330E5" w:rsidRPr="00F330E5" w:rsidRDefault="00F330E5" w:rsidP="00F330E5">
      <w:pPr>
        <w:spacing w:before="100" w:beforeAutospacing="1" w:after="100" w:afterAutospacing="1"/>
        <w:ind w:left="708"/>
        <w:jc w:val="both"/>
        <w:rPr>
          <w:iCs/>
          <w:color w:val="auto"/>
          <w:lang w:val="es-CO" w:eastAsia="es-CO"/>
        </w:rPr>
      </w:pPr>
      <w:r w:rsidRPr="00F330E5">
        <w:rPr>
          <w:iCs/>
          <w:color w:val="auto"/>
          <w:lang w:val="es-CO" w:eastAsia="es-CO"/>
        </w:rPr>
        <w:t>Los derechos de los niños prevalecen sobre los derechos de los demás.</w:t>
      </w:r>
    </w:p>
    <w:p w14:paraId="16554186" w14:textId="77777777" w:rsidR="00F330E5" w:rsidRPr="00F330E5" w:rsidRDefault="00F330E5" w:rsidP="00F330E5">
      <w:pPr>
        <w:spacing w:before="100" w:beforeAutospacing="1" w:after="100" w:afterAutospacing="1"/>
        <w:ind w:left="708"/>
        <w:jc w:val="both"/>
        <w:rPr>
          <w:iCs/>
          <w:color w:val="auto"/>
          <w:lang w:val="es-CO" w:eastAsia="es-CO"/>
        </w:rPr>
      </w:pPr>
      <w:r w:rsidRPr="00F330E5">
        <w:rPr>
          <w:iCs/>
          <w:color w:val="auto"/>
          <w:lang w:val="es-CO" w:eastAsia="es-CO"/>
        </w:rPr>
        <w:t>(…)</w:t>
      </w:r>
    </w:p>
    <w:p w14:paraId="5FBF8200" w14:textId="77777777" w:rsidR="00F330E5" w:rsidRPr="00F330E5" w:rsidRDefault="00F330E5" w:rsidP="00F330E5">
      <w:pPr>
        <w:pStyle w:val="Prrafodelista"/>
        <w:numPr>
          <w:ilvl w:val="0"/>
          <w:numId w:val="11"/>
        </w:numPr>
        <w:spacing w:before="100" w:beforeAutospacing="1" w:after="100" w:afterAutospacing="1"/>
        <w:jc w:val="both"/>
        <w:rPr>
          <w:iCs/>
          <w:color w:val="auto"/>
          <w:lang w:val="es-CO" w:eastAsia="es-CO"/>
        </w:rPr>
      </w:pPr>
      <w:r w:rsidRPr="00F330E5">
        <w:rPr>
          <w:b/>
          <w:iCs/>
          <w:color w:val="auto"/>
          <w:lang w:val="es-CO" w:eastAsia="es-CO"/>
        </w:rPr>
        <w:t xml:space="preserve">Artículo 49. </w:t>
      </w:r>
      <w:r w:rsidRPr="00F330E5">
        <w:rPr>
          <w:iCs/>
          <w:color w:val="auto"/>
          <w:lang w:val="es-CO" w:eastAsia="es-CO"/>
        </w:rPr>
        <w:t>La atención de la salud y el saneamiento ambiental son servicios públicos a cargo del Estado. Se garantiza a todas las personas el acceso a los servicios de promoción, protección y recuperación de la salud.</w:t>
      </w:r>
    </w:p>
    <w:p w14:paraId="50EB2F69" w14:textId="77777777" w:rsidR="00F330E5" w:rsidRPr="00F330E5" w:rsidRDefault="00F330E5" w:rsidP="00F330E5">
      <w:pPr>
        <w:spacing w:before="100" w:beforeAutospacing="1" w:after="100" w:afterAutospacing="1"/>
        <w:ind w:left="708"/>
        <w:jc w:val="both"/>
        <w:rPr>
          <w:iCs/>
          <w:color w:val="auto"/>
          <w:lang w:val="es-CO" w:eastAsia="es-CO"/>
        </w:rPr>
      </w:pPr>
      <w:r w:rsidRPr="00F330E5">
        <w:rPr>
          <w:iCs/>
          <w:color w:val="auto"/>
          <w:lang w:val="es-CO" w:eastAsia="es-CO"/>
        </w:rPr>
        <w:t xml:space="preserve">Corresponde al Estado organizar, dirigir y reglamentar la prestación de servicios de salud a los habitantes y de saneamiento ambiental conforme a los principios de eficiencia, universalidad y solidaridad. También, establecer </w:t>
      </w:r>
      <w:r w:rsidRPr="00F330E5">
        <w:rPr>
          <w:iCs/>
          <w:color w:val="auto"/>
          <w:lang w:val="es-CO" w:eastAsia="es-CO"/>
        </w:rPr>
        <w:lastRenderedPageBreak/>
        <w:t>las políticas para la prestación de servicios de salud por entidades privadas, y ejercer su vigilancia y control. Así mismo, establecer las competencias de la Nación, las entidades territoriales y los particulares y determinar los aportes a su cargo en los términos y condiciones señalados en la ley.</w:t>
      </w:r>
    </w:p>
    <w:p w14:paraId="6986C12F" w14:textId="77777777" w:rsidR="00F330E5" w:rsidRPr="00F330E5" w:rsidRDefault="00F330E5" w:rsidP="00F330E5">
      <w:pPr>
        <w:spacing w:before="100" w:beforeAutospacing="1" w:after="100" w:afterAutospacing="1"/>
        <w:ind w:left="708"/>
        <w:jc w:val="both"/>
        <w:rPr>
          <w:iCs/>
          <w:color w:val="auto"/>
          <w:lang w:val="es-CO" w:eastAsia="es-CO"/>
        </w:rPr>
      </w:pPr>
      <w:r w:rsidRPr="00F330E5">
        <w:rPr>
          <w:iCs/>
          <w:color w:val="auto"/>
          <w:lang w:val="es-CO" w:eastAsia="es-CO"/>
        </w:rPr>
        <w:t>Los servicios de salud se organizarán en forma descentralizada, por niveles de atención y con participación de la comunidad.</w:t>
      </w:r>
    </w:p>
    <w:p w14:paraId="71AE1372" w14:textId="77777777" w:rsidR="00F330E5" w:rsidRPr="00F330E5" w:rsidRDefault="00F330E5" w:rsidP="00F330E5">
      <w:pPr>
        <w:spacing w:before="100" w:beforeAutospacing="1" w:after="100" w:afterAutospacing="1"/>
        <w:ind w:left="708"/>
        <w:jc w:val="both"/>
        <w:rPr>
          <w:iCs/>
          <w:color w:val="auto"/>
          <w:lang w:val="es-CO" w:eastAsia="es-CO"/>
        </w:rPr>
      </w:pPr>
      <w:r w:rsidRPr="00F330E5">
        <w:rPr>
          <w:iCs/>
          <w:color w:val="auto"/>
          <w:lang w:val="es-CO" w:eastAsia="es-CO"/>
        </w:rPr>
        <w:t>La ley señalará los términos en los cuales la atención básica para todos los habitantes será gratuita y obligatoria.</w:t>
      </w:r>
    </w:p>
    <w:p w14:paraId="3E2CE16B" w14:textId="77777777" w:rsidR="00F330E5" w:rsidRPr="00F330E5" w:rsidRDefault="00F330E5" w:rsidP="00F330E5">
      <w:pPr>
        <w:spacing w:before="100" w:beforeAutospacing="1" w:after="100" w:afterAutospacing="1"/>
        <w:ind w:left="708"/>
        <w:jc w:val="both"/>
        <w:rPr>
          <w:iCs/>
          <w:color w:val="auto"/>
          <w:lang w:val="es-CO" w:eastAsia="es-CO"/>
        </w:rPr>
      </w:pPr>
      <w:r w:rsidRPr="00F330E5">
        <w:rPr>
          <w:iCs/>
          <w:color w:val="auto"/>
          <w:lang w:val="es-CO" w:eastAsia="es-CO"/>
        </w:rPr>
        <w:t xml:space="preserve">Toda persona tiene el deber de procurar el cuidado integral de su salud y de su comunidad (…)” </w:t>
      </w:r>
    </w:p>
    <w:p w14:paraId="1EB0309A" w14:textId="77777777" w:rsidR="00507E6A" w:rsidRPr="00F330E5" w:rsidRDefault="00507E6A" w:rsidP="00507E6A">
      <w:pPr>
        <w:jc w:val="both"/>
        <w:rPr>
          <w:lang w:val="es-CO"/>
        </w:rPr>
      </w:pPr>
    </w:p>
    <w:p w14:paraId="0567EF83" w14:textId="77777777" w:rsidR="00507E6A" w:rsidRPr="00F330E5" w:rsidRDefault="00507E6A" w:rsidP="00507E6A">
      <w:pPr>
        <w:jc w:val="both"/>
        <w:rPr>
          <w:b/>
          <w:bCs/>
          <w:lang w:val="es-CO"/>
        </w:rPr>
      </w:pPr>
      <w:r w:rsidRPr="00F330E5">
        <w:rPr>
          <w:b/>
          <w:bCs/>
          <w:lang w:val="es-CO"/>
        </w:rPr>
        <w:t>Leyes</w:t>
      </w:r>
    </w:p>
    <w:p w14:paraId="4CA5C9C3" w14:textId="77777777" w:rsidR="00507E6A" w:rsidRPr="00F330E5" w:rsidRDefault="00507E6A" w:rsidP="00507E6A">
      <w:pPr>
        <w:jc w:val="both"/>
        <w:rPr>
          <w:b/>
          <w:bCs/>
          <w:lang w:val="es-CO"/>
        </w:rPr>
      </w:pPr>
    </w:p>
    <w:p w14:paraId="76EC6D74" w14:textId="77777777" w:rsidR="00F330E5" w:rsidRPr="00F330E5" w:rsidRDefault="00F330E5" w:rsidP="00F330E5">
      <w:pPr>
        <w:pStyle w:val="Prrafodelista"/>
        <w:numPr>
          <w:ilvl w:val="0"/>
          <w:numId w:val="11"/>
        </w:numPr>
        <w:suppressAutoHyphens/>
        <w:jc w:val="both"/>
        <w:rPr>
          <w:bCs/>
          <w:color w:val="auto"/>
        </w:rPr>
      </w:pPr>
      <w:r w:rsidRPr="00F330E5">
        <w:rPr>
          <w:b/>
          <w:bCs/>
          <w:color w:val="auto"/>
        </w:rPr>
        <w:t xml:space="preserve">Ley 670 de 2001. </w:t>
      </w:r>
      <w:r w:rsidRPr="00F330E5">
        <w:rPr>
          <w:bCs/>
          <w:color w:val="auto"/>
        </w:rPr>
        <w:t xml:space="preserve">“Por medio de la cual se desarrolla parcialmente el artículo 44 de la Constitución Política para garantizar la vida, la integridad física y la recreación del niño expuesto al riesgo y por el manejo de artículos pirotécnicos o explosivos”. </w:t>
      </w:r>
    </w:p>
    <w:p w14:paraId="673002DF" w14:textId="40DA523E" w:rsidR="00F330E5" w:rsidRPr="00F330E5" w:rsidRDefault="00F330E5" w:rsidP="00F330E5">
      <w:pPr>
        <w:spacing w:after="160" w:line="259" w:lineRule="auto"/>
        <w:rPr>
          <w:b/>
          <w:bCs/>
          <w:color w:val="FF0000"/>
        </w:rPr>
      </w:pPr>
    </w:p>
    <w:p w14:paraId="37EB13AE" w14:textId="77777777" w:rsidR="00F330E5" w:rsidRPr="00F330E5" w:rsidRDefault="00F330E5" w:rsidP="00F330E5">
      <w:pPr>
        <w:ind w:left="720"/>
        <w:jc w:val="both"/>
        <w:rPr>
          <w:i/>
          <w:color w:val="auto"/>
        </w:rPr>
      </w:pPr>
      <w:r w:rsidRPr="00F330E5">
        <w:rPr>
          <w:b/>
          <w:bCs/>
          <w:i/>
          <w:color w:val="auto"/>
          <w:shd w:val="clear" w:color="auto" w:fill="FFFFFF"/>
        </w:rPr>
        <w:t>“ARTÍCULO 1º.</w:t>
      </w:r>
      <w:r w:rsidRPr="00F330E5">
        <w:rPr>
          <w:i/>
          <w:color w:val="auto"/>
          <w:shd w:val="clear" w:color="auto" w:fill="FFFFFF"/>
        </w:rPr>
        <w:t> Esta ley tiene por objeto:</w:t>
      </w:r>
    </w:p>
    <w:p w14:paraId="505EDEEA" w14:textId="77777777" w:rsidR="00F330E5" w:rsidRPr="00F330E5" w:rsidRDefault="00F330E5" w:rsidP="00F330E5">
      <w:pPr>
        <w:shd w:val="clear" w:color="auto" w:fill="FFFFFF"/>
        <w:spacing w:before="100" w:beforeAutospacing="1" w:after="100" w:afterAutospacing="1"/>
        <w:ind w:left="720"/>
        <w:jc w:val="both"/>
        <w:rPr>
          <w:i/>
          <w:color w:val="auto"/>
        </w:rPr>
      </w:pPr>
      <w:r w:rsidRPr="00F330E5">
        <w:rPr>
          <w:i/>
          <w:color w:val="auto"/>
        </w:rPr>
        <w:t>1. Garantizar al niño los derechos fundamentales a la vida, integridad física, la salud y la recreación.</w:t>
      </w:r>
    </w:p>
    <w:p w14:paraId="629A95A4" w14:textId="77777777" w:rsidR="00F330E5" w:rsidRPr="00F330E5" w:rsidRDefault="00F330E5" w:rsidP="00F330E5">
      <w:pPr>
        <w:shd w:val="clear" w:color="auto" w:fill="FFFFFF"/>
        <w:spacing w:before="100" w:beforeAutospacing="1" w:after="100" w:afterAutospacing="1"/>
        <w:ind w:left="720"/>
        <w:jc w:val="both"/>
        <w:rPr>
          <w:i/>
          <w:color w:val="auto"/>
        </w:rPr>
      </w:pPr>
      <w:r w:rsidRPr="00F330E5">
        <w:rPr>
          <w:i/>
          <w:color w:val="auto"/>
        </w:rPr>
        <w:t>2. Establecer las previsiones de protección al niño por el manejo de artículos o juegos pirotécnicos.</w:t>
      </w:r>
    </w:p>
    <w:p w14:paraId="5F6B9E3A" w14:textId="77777777" w:rsidR="00F330E5" w:rsidRPr="00F330E5" w:rsidRDefault="00F330E5" w:rsidP="00F330E5">
      <w:pPr>
        <w:shd w:val="clear" w:color="auto" w:fill="FFFFFF"/>
        <w:spacing w:before="100" w:beforeAutospacing="1" w:after="100" w:afterAutospacing="1"/>
        <w:ind w:left="720"/>
        <w:jc w:val="both"/>
        <w:rPr>
          <w:i/>
          <w:color w:val="auto"/>
        </w:rPr>
      </w:pPr>
      <w:r w:rsidRPr="00F330E5">
        <w:rPr>
          <w:i/>
          <w:color w:val="auto"/>
        </w:rPr>
        <w:t>3. Confirmar que los derechos fundamentales de los niños prevalecen sobre los derechos de los demás.</w:t>
      </w:r>
    </w:p>
    <w:p w14:paraId="3EA1F541" w14:textId="77777777" w:rsidR="00F330E5" w:rsidRPr="00F330E5" w:rsidRDefault="00F330E5" w:rsidP="00F330E5">
      <w:pPr>
        <w:shd w:val="clear" w:color="auto" w:fill="FFFFFF"/>
        <w:spacing w:before="100" w:beforeAutospacing="1" w:after="100" w:afterAutospacing="1"/>
        <w:ind w:left="720"/>
        <w:jc w:val="both"/>
        <w:rPr>
          <w:i/>
          <w:color w:val="auto"/>
        </w:rPr>
      </w:pPr>
      <w:r w:rsidRPr="00F330E5">
        <w:rPr>
          <w:b/>
          <w:bCs/>
          <w:i/>
          <w:color w:val="auto"/>
        </w:rPr>
        <w:t>ARTÍCULO 2º.</w:t>
      </w:r>
      <w:r w:rsidRPr="00F330E5">
        <w:rPr>
          <w:i/>
          <w:color w:val="auto"/>
        </w:rPr>
        <w:t> Todo adulto está obligado a contribuir en forma eficaz a la prevención del riesgo ocasionado por los artículos pirotécnicos y fuegos artificiales que puedan afectar la vida, la integridad física, la salud y la infancia feliz del menor.</w:t>
      </w:r>
    </w:p>
    <w:p w14:paraId="664AA4D0" w14:textId="77777777" w:rsidR="00F330E5" w:rsidRPr="00F330E5" w:rsidRDefault="00F330E5" w:rsidP="00F330E5">
      <w:pPr>
        <w:shd w:val="clear" w:color="auto" w:fill="FFFFFF"/>
        <w:spacing w:before="100" w:beforeAutospacing="1" w:after="100" w:afterAutospacing="1"/>
        <w:ind w:left="720"/>
        <w:jc w:val="both"/>
        <w:rPr>
          <w:i/>
          <w:color w:val="auto"/>
        </w:rPr>
      </w:pPr>
      <w:r w:rsidRPr="00F330E5">
        <w:rPr>
          <w:b/>
          <w:bCs/>
          <w:i/>
          <w:color w:val="auto"/>
        </w:rPr>
        <w:lastRenderedPageBreak/>
        <w:t>ARTÍCULO 3º.</w:t>
      </w:r>
      <w:r w:rsidRPr="00F330E5">
        <w:rPr>
          <w:i/>
          <w:color w:val="auto"/>
        </w:rPr>
        <w:t> El menor tiene derecho a ser protegido en su vida, integridad física y salud. Los padres, bajo su responsabilidad, deben orientar a sus hijos y menores sobre la prohibición del uso de la pólvora con fines pirotécnicos, de recreación y con cualquier finalidad. Los padres y los niños participarán en los programas de prevención de riesgos que organicen las autoridades municipales y otros estamentos del Estado.</w:t>
      </w:r>
    </w:p>
    <w:p w14:paraId="58A1B679" w14:textId="77777777" w:rsidR="00F330E5" w:rsidRPr="00F330E5" w:rsidRDefault="00F330E5" w:rsidP="00F330E5">
      <w:pPr>
        <w:shd w:val="clear" w:color="auto" w:fill="FFFFFF"/>
        <w:spacing w:before="100" w:beforeAutospacing="1" w:after="100" w:afterAutospacing="1"/>
        <w:ind w:left="720"/>
        <w:jc w:val="both"/>
        <w:rPr>
          <w:color w:val="333333"/>
        </w:rPr>
      </w:pPr>
      <w:r w:rsidRPr="00F330E5">
        <w:rPr>
          <w:b/>
          <w:bCs/>
          <w:i/>
          <w:color w:val="auto"/>
        </w:rPr>
        <w:t>(…</w:t>
      </w:r>
      <w:r w:rsidRPr="00F330E5">
        <w:rPr>
          <w:color w:val="333333"/>
        </w:rPr>
        <w:t>)</w:t>
      </w:r>
    </w:p>
    <w:p w14:paraId="4EE223E9" w14:textId="77777777" w:rsidR="00F330E5" w:rsidRPr="00F330E5" w:rsidRDefault="00F330E5" w:rsidP="00F330E5">
      <w:pPr>
        <w:shd w:val="clear" w:color="auto" w:fill="FFFFFF"/>
        <w:spacing w:before="100" w:beforeAutospacing="1" w:after="100" w:afterAutospacing="1"/>
        <w:ind w:left="720"/>
        <w:jc w:val="both"/>
        <w:rPr>
          <w:color w:val="auto"/>
        </w:rPr>
      </w:pPr>
      <w:r w:rsidRPr="00F330E5">
        <w:rPr>
          <w:b/>
          <w:bCs/>
          <w:color w:val="auto"/>
        </w:rPr>
        <w:t>ARTÍCULO 14.</w:t>
      </w:r>
      <w:r w:rsidRPr="00F330E5">
        <w:rPr>
          <w:color w:val="auto"/>
        </w:rPr>
        <w:t xml:space="preserve"> El menor que resultare con quemaduras y daños corporales por el uso de artículos pirotécnicos, los centros de salud y hospitales públicos y privados, están obligados a prestar de inmediato la atención </w:t>
      </w:r>
      <w:proofErr w:type="spellStart"/>
      <w:r w:rsidRPr="00F330E5">
        <w:rPr>
          <w:color w:val="auto"/>
        </w:rPr>
        <w:t>medico</w:t>
      </w:r>
      <w:proofErr w:type="spellEnd"/>
      <w:r w:rsidRPr="00F330E5">
        <w:rPr>
          <w:color w:val="auto"/>
        </w:rPr>
        <w:t>-hospitalaria de urgencia que requiera, sin que se pueda aducir motivo para negarla, ni siquiera de la ausencia de sus representantes legales, la falta de disponibilidad de dinero o falta de cupo.</w:t>
      </w:r>
    </w:p>
    <w:p w14:paraId="54888752" w14:textId="77777777" w:rsidR="00F330E5" w:rsidRPr="00F330E5" w:rsidRDefault="00F330E5" w:rsidP="00F330E5">
      <w:pPr>
        <w:shd w:val="clear" w:color="auto" w:fill="FFFFFF"/>
        <w:spacing w:before="100" w:beforeAutospacing="1" w:after="100" w:afterAutospacing="1"/>
        <w:ind w:left="720"/>
        <w:jc w:val="both"/>
        <w:rPr>
          <w:color w:val="333333"/>
        </w:rPr>
      </w:pPr>
      <w:r w:rsidRPr="00F330E5">
        <w:rPr>
          <w:b/>
          <w:bCs/>
          <w:color w:val="auto"/>
        </w:rPr>
        <w:t>PARÁGRAFO. </w:t>
      </w:r>
      <w:r w:rsidRPr="00F330E5">
        <w:rPr>
          <w:color w:val="auto"/>
        </w:rPr>
        <w:t>Los representantes legales del menor afectado por quemaduras ocasionadas por el uso de artículos pirotécnicos, fuegos artificiales o globos, a quienes se les encontrase responsables por acción o por omisión de la conducta de aquel, se les aplicará una sanción pecuniaria hasta por cinco (5) salarios mínimos legales mensuales vigentes. Los recursos provenientes de estas sanciones estarán destinados a incrementar el fondo a que se refiere el artículo 6o. de esta ley. (…)”</w:t>
      </w:r>
    </w:p>
    <w:p w14:paraId="14BC414A" w14:textId="77777777" w:rsidR="00F330E5" w:rsidRPr="00F330E5" w:rsidRDefault="00F330E5" w:rsidP="00F330E5">
      <w:pPr>
        <w:suppressAutoHyphens/>
        <w:jc w:val="both"/>
        <w:rPr>
          <w:b/>
          <w:bCs/>
          <w:color w:val="FF0000"/>
        </w:rPr>
      </w:pPr>
    </w:p>
    <w:p w14:paraId="152167F6" w14:textId="77777777" w:rsidR="00F330E5" w:rsidRPr="00F330E5" w:rsidRDefault="00F330E5" w:rsidP="00F330E5">
      <w:pPr>
        <w:pStyle w:val="Prrafodelista"/>
        <w:numPr>
          <w:ilvl w:val="0"/>
          <w:numId w:val="11"/>
        </w:numPr>
        <w:suppressAutoHyphens/>
        <w:jc w:val="both"/>
        <w:rPr>
          <w:bCs/>
          <w:color w:val="auto"/>
        </w:rPr>
      </w:pPr>
      <w:r w:rsidRPr="00F330E5">
        <w:rPr>
          <w:b/>
          <w:bCs/>
          <w:color w:val="auto"/>
        </w:rPr>
        <w:t xml:space="preserve">Ley 1639 de 2013. </w:t>
      </w:r>
      <w:r w:rsidRPr="00F330E5">
        <w:rPr>
          <w:bCs/>
          <w:color w:val="auto"/>
        </w:rPr>
        <w:t>“Por medio del cual se fortalecen las medidas de protección a la integridad de las víctimas de crímenes con ácido y se adiciona el artículo 113 de la Ley 599 de 2000”.</w:t>
      </w:r>
    </w:p>
    <w:p w14:paraId="3D9E050F" w14:textId="77777777" w:rsidR="00F330E5" w:rsidRPr="00F330E5" w:rsidRDefault="00F330E5" w:rsidP="00F330E5">
      <w:pPr>
        <w:suppressAutoHyphens/>
        <w:jc w:val="both"/>
        <w:rPr>
          <w:b/>
          <w:bCs/>
          <w:color w:val="FF0000"/>
        </w:rPr>
      </w:pPr>
    </w:p>
    <w:p w14:paraId="7234EF3B" w14:textId="77777777" w:rsidR="00F330E5" w:rsidRPr="00F330E5" w:rsidRDefault="00F330E5" w:rsidP="00F330E5">
      <w:pPr>
        <w:suppressAutoHyphens/>
        <w:ind w:left="720"/>
        <w:jc w:val="both"/>
        <w:rPr>
          <w:i/>
          <w:color w:val="auto"/>
          <w:shd w:val="clear" w:color="auto" w:fill="FFFFFF"/>
        </w:rPr>
      </w:pPr>
      <w:r w:rsidRPr="00F330E5">
        <w:rPr>
          <w:b/>
          <w:bCs/>
          <w:i/>
          <w:color w:val="auto"/>
          <w:shd w:val="clear" w:color="auto" w:fill="FFFFFF"/>
        </w:rPr>
        <w:t>“Artículo 1°. </w:t>
      </w:r>
      <w:r w:rsidRPr="00F330E5">
        <w:rPr>
          <w:b/>
          <w:bCs/>
          <w:i/>
          <w:iCs/>
          <w:color w:val="auto"/>
          <w:shd w:val="clear" w:color="auto" w:fill="FFFFFF"/>
        </w:rPr>
        <w:t>Objeto</w:t>
      </w:r>
      <w:r w:rsidRPr="00F330E5">
        <w:rPr>
          <w:b/>
          <w:bCs/>
          <w:i/>
          <w:color w:val="auto"/>
          <w:shd w:val="clear" w:color="auto" w:fill="FFFFFF"/>
        </w:rPr>
        <w:t>. </w:t>
      </w:r>
      <w:r w:rsidRPr="00F330E5">
        <w:rPr>
          <w:i/>
          <w:color w:val="auto"/>
          <w:shd w:val="clear" w:color="auto" w:fill="FFFFFF"/>
        </w:rPr>
        <w:t>La presente ley tiene por objeto fortalecer las medidas de prevención, protección y atención integral a las víctimas de crímenes con ácido, álcalis o sustancias similares o corrosivas que generen daño o destrucción al entrar en contacto con el tejido humano.</w:t>
      </w:r>
    </w:p>
    <w:p w14:paraId="73CAA204" w14:textId="77777777" w:rsidR="00F330E5" w:rsidRPr="00F330E5" w:rsidRDefault="00F330E5" w:rsidP="00F330E5">
      <w:pPr>
        <w:suppressAutoHyphens/>
        <w:ind w:left="720"/>
        <w:jc w:val="both"/>
        <w:rPr>
          <w:b/>
          <w:bCs/>
          <w:i/>
          <w:color w:val="auto"/>
        </w:rPr>
      </w:pPr>
    </w:p>
    <w:p w14:paraId="3FB66FC2" w14:textId="77777777" w:rsidR="00F330E5" w:rsidRPr="00F330E5" w:rsidRDefault="00F330E5" w:rsidP="00F330E5">
      <w:pPr>
        <w:suppressAutoHyphens/>
        <w:ind w:left="720"/>
        <w:jc w:val="both"/>
        <w:rPr>
          <w:b/>
          <w:bCs/>
          <w:i/>
          <w:color w:val="auto"/>
        </w:rPr>
      </w:pPr>
      <w:r w:rsidRPr="00F330E5">
        <w:rPr>
          <w:b/>
          <w:bCs/>
          <w:i/>
          <w:color w:val="auto"/>
        </w:rPr>
        <w:t>(…)</w:t>
      </w:r>
    </w:p>
    <w:p w14:paraId="54EA4C81" w14:textId="77777777" w:rsidR="00F330E5" w:rsidRPr="00F330E5" w:rsidRDefault="00F330E5" w:rsidP="00F330E5">
      <w:pPr>
        <w:pStyle w:val="pa6"/>
        <w:shd w:val="clear" w:color="auto" w:fill="FFFFFF"/>
        <w:ind w:left="708"/>
        <w:jc w:val="both"/>
        <w:rPr>
          <w:rFonts w:ascii="Arial" w:hAnsi="Arial" w:cs="Arial"/>
          <w:i/>
        </w:rPr>
      </w:pPr>
      <w:r w:rsidRPr="00F330E5">
        <w:rPr>
          <w:rFonts w:ascii="Arial" w:hAnsi="Arial" w:cs="Arial"/>
          <w:b/>
          <w:bCs/>
          <w:i/>
        </w:rPr>
        <w:t>Artículo 4°. </w:t>
      </w:r>
      <w:r w:rsidRPr="00F330E5">
        <w:rPr>
          <w:rFonts w:ascii="Arial" w:hAnsi="Arial" w:cs="Arial"/>
          <w:b/>
          <w:bCs/>
          <w:i/>
          <w:iCs/>
        </w:rPr>
        <w:t>Creación de la ruta de atención integral para las víctimas de ataques con ácidos. </w:t>
      </w:r>
      <w:r w:rsidRPr="00F330E5">
        <w:rPr>
          <w:rFonts w:ascii="Arial" w:hAnsi="Arial" w:cs="Arial"/>
          <w:i/>
        </w:rPr>
        <w:t xml:space="preserve">Créase la ruta integral para la atención integral de las víctimas de ácidos o sustancias similares o corrosivas que generen daño o </w:t>
      </w:r>
      <w:r w:rsidRPr="00F330E5">
        <w:rPr>
          <w:rFonts w:ascii="Arial" w:hAnsi="Arial" w:cs="Arial"/>
          <w:i/>
        </w:rPr>
        <w:lastRenderedPageBreak/>
        <w:t>destrucción al entrar en contacto con el tejido humano mediante la cual se deberá suministrar información y orientar a las víctimas acerca de los derechos, medidas y recursos con los que cuenta, los medios judiciales, administrativos y de atención en salud.</w:t>
      </w:r>
    </w:p>
    <w:p w14:paraId="3B85C156" w14:textId="77777777" w:rsidR="00F330E5" w:rsidRPr="00F330E5" w:rsidRDefault="00F330E5" w:rsidP="00F330E5">
      <w:pPr>
        <w:pStyle w:val="pa6"/>
        <w:shd w:val="clear" w:color="auto" w:fill="FFFFFF"/>
        <w:ind w:left="708"/>
        <w:jc w:val="both"/>
        <w:rPr>
          <w:rFonts w:ascii="Arial" w:hAnsi="Arial" w:cs="Arial"/>
          <w:i/>
        </w:rPr>
      </w:pPr>
      <w:r w:rsidRPr="00F330E5">
        <w:rPr>
          <w:rFonts w:ascii="Arial" w:hAnsi="Arial" w:cs="Arial"/>
          <w:i/>
        </w:rPr>
        <w:t>Se garantizará a las víctimas de ataques con ácidos o sustancias similares o corrosivas que generen daño o destrucción al entrar en contacto con el tejido humano, mecanismos para proporcionar ocupación laboral o su continuidad laboral, según el caso.</w:t>
      </w:r>
    </w:p>
    <w:p w14:paraId="1556DD3B" w14:textId="77777777" w:rsidR="00F330E5" w:rsidRPr="00F330E5" w:rsidRDefault="00F330E5" w:rsidP="00F330E5">
      <w:pPr>
        <w:pStyle w:val="pa6"/>
        <w:shd w:val="clear" w:color="auto" w:fill="FFFFFF"/>
        <w:ind w:left="708"/>
        <w:jc w:val="both"/>
        <w:rPr>
          <w:rFonts w:ascii="Arial" w:hAnsi="Arial" w:cs="Arial"/>
          <w:i/>
        </w:rPr>
      </w:pPr>
      <w:r w:rsidRPr="00F330E5">
        <w:rPr>
          <w:rFonts w:ascii="Arial" w:hAnsi="Arial" w:cs="Arial"/>
          <w:b/>
          <w:bCs/>
          <w:i/>
        </w:rPr>
        <w:t>Parágrafo. </w:t>
      </w:r>
      <w:r w:rsidRPr="00F330E5">
        <w:rPr>
          <w:rFonts w:ascii="Arial" w:hAnsi="Arial" w:cs="Arial"/>
          <w:i/>
        </w:rPr>
        <w:t>El Gobierno Nacional reglamentará en un plazo máximo de seis (6) meses posteriores a la expedición de la presente ley, la puesta en marcha de la ruta integral y su funcionamiento en los distintos entes territoriales.</w:t>
      </w:r>
    </w:p>
    <w:p w14:paraId="4071E3DF" w14:textId="77777777" w:rsidR="00F330E5" w:rsidRPr="00F330E5" w:rsidRDefault="00F330E5" w:rsidP="00F330E5">
      <w:pPr>
        <w:shd w:val="clear" w:color="auto" w:fill="FFFFFF"/>
        <w:spacing w:before="100" w:beforeAutospacing="1"/>
        <w:ind w:left="708"/>
        <w:jc w:val="both"/>
        <w:rPr>
          <w:i/>
          <w:color w:val="auto"/>
        </w:rPr>
      </w:pPr>
      <w:r w:rsidRPr="00F330E5">
        <w:rPr>
          <w:b/>
          <w:bCs/>
          <w:i/>
          <w:color w:val="auto"/>
        </w:rPr>
        <w:t>Artículo</w:t>
      </w:r>
      <w:bookmarkStart w:id="2" w:name="5"/>
      <w:r w:rsidRPr="00F330E5">
        <w:rPr>
          <w:b/>
          <w:bCs/>
          <w:i/>
          <w:color w:val="auto"/>
        </w:rPr>
        <w:t> </w:t>
      </w:r>
      <w:bookmarkEnd w:id="2"/>
      <w:r w:rsidRPr="00F330E5">
        <w:rPr>
          <w:b/>
          <w:bCs/>
          <w:i/>
          <w:color w:val="auto"/>
        </w:rPr>
        <w:t>5°. Medidas de protección en salud. </w:t>
      </w:r>
      <w:r w:rsidRPr="00F330E5">
        <w:rPr>
          <w:i/>
          <w:color w:val="auto"/>
        </w:rPr>
        <w:t>Créese el artículo </w:t>
      </w:r>
      <w:hyperlink r:id="rId19" w:anchor="53" w:history="1">
        <w:r w:rsidRPr="00F330E5">
          <w:rPr>
            <w:rStyle w:val="Hipervnculo"/>
            <w:rFonts w:cs="Arial"/>
            <w:i/>
            <w:color w:val="auto"/>
          </w:rPr>
          <w:t>53A</w:t>
        </w:r>
      </w:hyperlink>
      <w:r w:rsidRPr="00F330E5">
        <w:rPr>
          <w:i/>
          <w:color w:val="auto"/>
        </w:rPr>
        <w:t> en la Ley 1438 de 2011 del siguiente tenor:</w:t>
      </w:r>
    </w:p>
    <w:p w14:paraId="6C3FA7C5" w14:textId="77777777" w:rsidR="00F330E5" w:rsidRPr="00F330E5" w:rsidRDefault="00F330E5" w:rsidP="00F330E5">
      <w:pPr>
        <w:shd w:val="clear" w:color="auto" w:fill="FFFFFF"/>
        <w:spacing w:before="100" w:beforeAutospacing="1"/>
        <w:ind w:left="708"/>
        <w:jc w:val="both"/>
        <w:rPr>
          <w:i/>
          <w:color w:val="auto"/>
        </w:rPr>
      </w:pPr>
      <w:r w:rsidRPr="00F330E5">
        <w:rPr>
          <w:i/>
          <w:color w:val="auto"/>
        </w:rPr>
        <w:t>Cuando las lesiones personales sean causadas por el uso de cualquier tipo de ácidos o sustancia similar o corrosiva que generen daño o destrucción al entrar en contacto con el tejido humano y generen algún tipo de deformidad o disfuncionalidad, los servicios, tratamientos médicos y psicológicos, procedimientos e intervenciones necesarias para restituir la fisionomía y funcionalidad de las zonas afectadas, no tendrán costo alguno y serán a cargo del Estado.</w:t>
      </w:r>
    </w:p>
    <w:p w14:paraId="61140E86" w14:textId="77777777" w:rsidR="00F330E5" w:rsidRPr="00F330E5" w:rsidRDefault="00F330E5" w:rsidP="00F330E5">
      <w:pPr>
        <w:shd w:val="clear" w:color="auto" w:fill="FFFFFF"/>
        <w:spacing w:before="100" w:beforeAutospacing="1"/>
        <w:ind w:left="708"/>
        <w:jc w:val="both"/>
        <w:rPr>
          <w:i/>
          <w:color w:val="auto"/>
        </w:rPr>
      </w:pPr>
      <w:r w:rsidRPr="00F330E5">
        <w:rPr>
          <w:b/>
          <w:bCs/>
          <w:i/>
          <w:color w:val="auto"/>
        </w:rPr>
        <w:t>Parágrafo. </w:t>
      </w:r>
      <w:r w:rsidRPr="00F330E5">
        <w:rPr>
          <w:i/>
          <w:color w:val="auto"/>
        </w:rPr>
        <w:t>Los prestadores de los servicios médicos tienen la obligación de llevar un registro y reportar a las autoridades competentes sobre las personas atendidas en casos de lesiones corporales causadas por ácidos o sustancia similar o corrosiva que generen daño o destrucción al entrar en contacto con el tejido humano.</w:t>
      </w:r>
    </w:p>
    <w:p w14:paraId="597E227D" w14:textId="77777777" w:rsidR="00F330E5" w:rsidRPr="00F330E5" w:rsidRDefault="00F330E5" w:rsidP="00F330E5">
      <w:pPr>
        <w:shd w:val="clear" w:color="auto" w:fill="FFFFFF"/>
        <w:spacing w:before="100" w:beforeAutospacing="1"/>
        <w:ind w:left="708"/>
        <w:jc w:val="both"/>
        <w:rPr>
          <w:color w:val="auto"/>
        </w:rPr>
      </w:pPr>
      <w:r w:rsidRPr="00F330E5">
        <w:rPr>
          <w:i/>
          <w:color w:val="auto"/>
        </w:rPr>
        <w:t> En cualquier momento la policía o las autoridades competentes podrán solicitar el registro correspondiente a los prestadores de los servicios de salud. (…)”</w:t>
      </w:r>
    </w:p>
    <w:p w14:paraId="56FE0042" w14:textId="77777777" w:rsidR="00F330E5" w:rsidRPr="00F330E5" w:rsidRDefault="00F330E5" w:rsidP="00F330E5">
      <w:pPr>
        <w:pStyle w:val="Prrafodelista"/>
        <w:suppressAutoHyphens/>
        <w:ind w:left="720"/>
        <w:jc w:val="both"/>
        <w:rPr>
          <w:b/>
          <w:bCs/>
          <w:i/>
          <w:color w:val="FF0000"/>
        </w:rPr>
      </w:pPr>
    </w:p>
    <w:p w14:paraId="695CBE90" w14:textId="77777777" w:rsidR="00F330E5" w:rsidRPr="00F330E5" w:rsidRDefault="00F330E5" w:rsidP="00F330E5">
      <w:pPr>
        <w:pStyle w:val="Prrafodelista"/>
        <w:suppressAutoHyphens/>
        <w:ind w:left="720"/>
        <w:jc w:val="both"/>
        <w:rPr>
          <w:b/>
          <w:bCs/>
          <w:i/>
          <w:color w:val="FF0000"/>
        </w:rPr>
      </w:pPr>
    </w:p>
    <w:p w14:paraId="26078B4E" w14:textId="77777777" w:rsidR="00F330E5" w:rsidRPr="00F330E5" w:rsidRDefault="00F330E5" w:rsidP="00F330E5">
      <w:pPr>
        <w:pStyle w:val="Prrafodelista"/>
        <w:numPr>
          <w:ilvl w:val="0"/>
          <w:numId w:val="11"/>
        </w:numPr>
        <w:suppressAutoHyphens/>
        <w:jc w:val="both"/>
        <w:rPr>
          <w:b/>
          <w:bCs/>
          <w:i/>
          <w:color w:val="auto"/>
        </w:rPr>
      </w:pPr>
      <w:r w:rsidRPr="00F330E5">
        <w:rPr>
          <w:b/>
          <w:bCs/>
          <w:color w:val="auto"/>
        </w:rPr>
        <w:t xml:space="preserve">Ley 1773 de 2016. </w:t>
      </w:r>
      <w:r w:rsidRPr="00F330E5">
        <w:rPr>
          <w:bCs/>
          <w:color w:val="auto"/>
        </w:rPr>
        <w:t>“Por medio del cual se crea el artículo 116 A se modifican los artículos 68 A, 104, 113, 359 y 374 de la Ley 599 de 2000 y se modifica el artículo 351 de la Ley 906 de 2004”.</w:t>
      </w:r>
      <w:r w:rsidRPr="00F330E5">
        <w:rPr>
          <w:b/>
          <w:bCs/>
          <w:i/>
          <w:color w:val="auto"/>
        </w:rPr>
        <w:t xml:space="preserve"> </w:t>
      </w:r>
    </w:p>
    <w:p w14:paraId="0A7805E2" w14:textId="0E92E378" w:rsidR="00F330E5" w:rsidRPr="00F330E5" w:rsidRDefault="00F330E5" w:rsidP="00F330E5">
      <w:pPr>
        <w:shd w:val="clear" w:color="auto" w:fill="FFFFFF"/>
        <w:rPr>
          <w:color w:val="auto"/>
          <w:lang w:val="es-CO" w:eastAsia="es-CO"/>
        </w:rPr>
      </w:pPr>
      <w:r w:rsidRPr="00F330E5">
        <w:rPr>
          <w:color w:val="auto"/>
          <w:lang w:val="es-CO" w:eastAsia="es-CO"/>
        </w:rPr>
        <w:lastRenderedPageBreak/>
        <w:t> </w:t>
      </w:r>
      <w:r w:rsidRPr="00F330E5">
        <w:rPr>
          <w:color w:val="auto"/>
          <w:lang w:val="es-CO" w:eastAsia="es-CO"/>
        </w:rPr>
        <w:tab/>
      </w:r>
    </w:p>
    <w:p w14:paraId="39865AB6" w14:textId="77777777" w:rsidR="00F330E5" w:rsidRPr="00F330E5" w:rsidRDefault="00F330E5" w:rsidP="00F330E5">
      <w:pPr>
        <w:shd w:val="clear" w:color="auto" w:fill="FFFFFF"/>
        <w:ind w:left="720"/>
        <w:jc w:val="both"/>
        <w:rPr>
          <w:i/>
          <w:color w:val="auto"/>
          <w:lang w:val="es-CO" w:eastAsia="es-CO"/>
        </w:rPr>
      </w:pPr>
      <w:r w:rsidRPr="00F330E5">
        <w:rPr>
          <w:b/>
          <w:bCs/>
          <w:i/>
          <w:color w:val="auto"/>
          <w:lang w:val="es-CO" w:eastAsia="es-CO"/>
        </w:rPr>
        <w:t>“(…) Artículo 5º.</w:t>
      </w:r>
      <w:r w:rsidRPr="00F330E5">
        <w:rPr>
          <w:bCs/>
          <w:i/>
          <w:color w:val="auto"/>
          <w:lang w:val="es-CO" w:eastAsia="es-CO"/>
        </w:rPr>
        <w:t> </w:t>
      </w:r>
      <w:r w:rsidRPr="00F330E5">
        <w:rPr>
          <w:bCs/>
          <w:i/>
          <w:iCs/>
          <w:color w:val="auto"/>
          <w:lang w:val="es-CO" w:eastAsia="es-CO"/>
        </w:rPr>
        <w:t>Acceso al expediente por parte de la víctima y su médico tratante</w:t>
      </w:r>
      <w:r w:rsidRPr="00F330E5">
        <w:rPr>
          <w:bCs/>
          <w:i/>
          <w:color w:val="auto"/>
          <w:lang w:val="es-CO" w:eastAsia="es-CO"/>
        </w:rPr>
        <w:t>.</w:t>
      </w:r>
      <w:r w:rsidRPr="00F330E5">
        <w:rPr>
          <w:i/>
          <w:color w:val="auto"/>
          <w:lang w:val="es-CO" w:eastAsia="es-CO"/>
        </w:rPr>
        <w:t> El Instituto Nacional de Medicina Legal suministrará de inmediato toda la información que requiera el médico tratante de las víctimas de ataques con agentes químicos, ácidos, álcalis, sustancias similares o corrosivas que generen destrucción al entrar en contacto con el tejido humano, que resulte necesaria para establecer el procedimiento médico a seguir y así evitar que el daño sea aún más gravoso. (…)”</w:t>
      </w:r>
    </w:p>
    <w:p w14:paraId="0FF7BD14" w14:textId="77777777" w:rsidR="00507E6A" w:rsidRPr="00F330E5" w:rsidRDefault="00507E6A" w:rsidP="00507E6A">
      <w:pPr>
        <w:jc w:val="both"/>
        <w:rPr>
          <w:lang w:val="es-CO"/>
        </w:rPr>
      </w:pPr>
    </w:p>
    <w:p w14:paraId="20D26F5D" w14:textId="6DE95F66" w:rsidR="00507E6A" w:rsidRPr="00F330E5" w:rsidRDefault="00507E6A" w:rsidP="00507E6A">
      <w:pPr>
        <w:jc w:val="both"/>
        <w:rPr>
          <w:b/>
          <w:bCs/>
          <w:lang w:val="es-CO"/>
        </w:rPr>
      </w:pPr>
      <w:r w:rsidRPr="00F330E5">
        <w:rPr>
          <w:b/>
          <w:bCs/>
          <w:lang w:val="es-CO"/>
        </w:rPr>
        <w:t>Decretos Nacionales</w:t>
      </w:r>
    </w:p>
    <w:p w14:paraId="6009EB26" w14:textId="77777777" w:rsidR="00F330E5" w:rsidRPr="00F330E5" w:rsidRDefault="00F330E5" w:rsidP="00507E6A">
      <w:pPr>
        <w:jc w:val="both"/>
        <w:rPr>
          <w:lang w:val="es-CO"/>
        </w:rPr>
      </w:pPr>
    </w:p>
    <w:p w14:paraId="34DB51E9" w14:textId="77777777" w:rsidR="00F330E5" w:rsidRPr="00F330E5" w:rsidRDefault="00F330E5" w:rsidP="00F330E5">
      <w:pPr>
        <w:pStyle w:val="Prrafodelista"/>
        <w:numPr>
          <w:ilvl w:val="0"/>
          <w:numId w:val="11"/>
        </w:numPr>
        <w:jc w:val="both"/>
        <w:rPr>
          <w:color w:val="auto"/>
        </w:rPr>
      </w:pPr>
      <w:r w:rsidRPr="00F330E5">
        <w:rPr>
          <w:b/>
          <w:color w:val="auto"/>
        </w:rPr>
        <w:t xml:space="preserve">Decreto 4481 de 2006. </w:t>
      </w:r>
      <w:r w:rsidRPr="00F330E5">
        <w:rPr>
          <w:color w:val="auto"/>
        </w:rPr>
        <w:t xml:space="preserve">“Por el cual se reglamenta parcialmente la Ley 670 de 2001” </w:t>
      </w:r>
    </w:p>
    <w:p w14:paraId="5CE22FC2" w14:textId="77777777" w:rsidR="00F330E5" w:rsidRPr="00F330E5" w:rsidRDefault="00F330E5" w:rsidP="00F330E5">
      <w:pPr>
        <w:jc w:val="both"/>
        <w:rPr>
          <w:color w:val="FF0000"/>
        </w:rPr>
      </w:pPr>
    </w:p>
    <w:p w14:paraId="6C4F16B1" w14:textId="77777777" w:rsidR="00F330E5" w:rsidRPr="00F330E5" w:rsidRDefault="00F330E5" w:rsidP="00F330E5">
      <w:pPr>
        <w:shd w:val="clear" w:color="auto" w:fill="FFFFFF"/>
        <w:spacing w:after="150"/>
        <w:ind w:left="709"/>
        <w:jc w:val="both"/>
        <w:rPr>
          <w:i/>
          <w:color w:val="auto"/>
          <w:lang w:val="es-CO" w:eastAsia="es-CO"/>
        </w:rPr>
      </w:pPr>
      <w:r w:rsidRPr="00F330E5">
        <w:rPr>
          <w:b/>
          <w:bCs/>
          <w:i/>
          <w:color w:val="auto"/>
          <w:lang w:val="es-CO" w:eastAsia="es-CO"/>
        </w:rPr>
        <w:t>“(…) Artículo 2°. </w:t>
      </w:r>
      <w:r w:rsidRPr="00F330E5">
        <w:rPr>
          <w:i/>
          <w:iCs/>
          <w:color w:val="auto"/>
          <w:lang w:val="es-CO" w:eastAsia="es-CO"/>
        </w:rPr>
        <w:t>Protección a menores.</w:t>
      </w:r>
      <w:r w:rsidRPr="00F330E5">
        <w:rPr>
          <w:i/>
          <w:color w:val="auto"/>
          <w:lang w:val="es-CO" w:eastAsia="es-CO"/>
        </w:rPr>
        <w:t> Está prohibida toda venta de artículos pirotécnicos o fuegos artificiales y globos a menores de edad y a personas en estado de embriaguez en todo el territorio nacional.</w:t>
      </w:r>
    </w:p>
    <w:p w14:paraId="31266FC0" w14:textId="77777777" w:rsidR="00F330E5" w:rsidRPr="00F330E5" w:rsidRDefault="00F330E5" w:rsidP="00F330E5">
      <w:pPr>
        <w:shd w:val="clear" w:color="auto" w:fill="FFFFFF"/>
        <w:spacing w:after="150"/>
        <w:ind w:left="709"/>
        <w:jc w:val="both"/>
        <w:rPr>
          <w:i/>
          <w:color w:val="auto"/>
          <w:lang w:val="es-CO" w:eastAsia="es-CO"/>
        </w:rPr>
      </w:pPr>
      <w:r w:rsidRPr="00F330E5">
        <w:rPr>
          <w:i/>
          <w:color w:val="auto"/>
          <w:lang w:val="es-CO" w:eastAsia="es-CO"/>
        </w:rPr>
        <w:t>Si se encontrare un menor manipulando, portando o usando inadecuadamente artículos pirotécnicos o fuegos artificiales y globos, le será decomisado el producto y será conducido y, puesto a disposición de un defensor de familia, quien determinará las medidas de protección a adoptar.</w:t>
      </w:r>
    </w:p>
    <w:p w14:paraId="2A99DE83" w14:textId="77777777" w:rsidR="00F330E5" w:rsidRPr="00F330E5" w:rsidRDefault="00F330E5" w:rsidP="00F330E5">
      <w:pPr>
        <w:shd w:val="clear" w:color="auto" w:fill="FFFFFF"/>
        <w:spacing w:after="150"/>
        <w:ind w:left="709"/>
        <w:jc w:val="both"/>
        <w:rPr>
          <w:i/>
          <w:color w:val="auto"/>
          <w:lang w:val="es-CO" w:eastAsia="es-CO"/>
        </w:rPr>
      </w:pPr>
      <w:r w:rsidRPr="00F330E5">
        <w:rPr>
          <w:b/>
          <w:bCs/>
          <w:i/>
          <w:color w:val="auto"/>
          <w:lang w:val="es-CO" w:eastAsia="es-CO"/>
        </w:rPr>
        <w:t>Artículo 3°. </w:t>
      </w:r>
      <w:r w:rsidRPr="00F330E5">
        <w:rPr>
          <w:i/>
          <w:iCs/>
          <w:color w:val="auto"/>
          <w:lang w:val="es-CO" w:eastAsia="es-CO"/>
        </w:rPr>
        <w:t>Urgencias y atención a menores.</w:t>
      </w:r>
      <w:r w:rsidRPr="00F330E5">
        <w:rPr>
          <w:i/>
          <w:color w:val="auto"/>
          <w:lang w:val="es-CO" w:eastAsia="es-CO"/>
        </w:rPr>
        <w:t> Cuando un menor resultare con quemaduras y daños corporales por el uso de artículos pirotécnicos, los centros de salud y hospitales públicos y privados, están obligados a prestar de inmediato la atención médico-hospitalaria de urgencia que requiera, sin que se pueda aducir motivo para negarla, ni siquiera de la ausencia de sus representantes legales, la falta de disponibilidad de dinero o falta de cupo.</w:t>
      </w:r>
    </w:p>
    <w:p w14:paraId="6BF9FF2F" w14:textId="77777777" w:rsidR="00F330E5" w:rsidRPr="00F330E5" w:rsidRDefault="00F330E5" w:rsidP="00F330E5">
      <w:pPr>
        <w:shd w:val="clear" w:color="auto" w:fill="FFFFFF"/>
        <w:spacing w:after="150"/>
        <w:ind w:left="709"/>
        <w:jc w:val="both"/>
        <w:rPr>
          <w:i/>
          <w:color w:val="auto"/>
          <w:lang w:val="es-CO" w:eastAsia="es-CO"/>
        </w:rPr>
      </w:pPr>
      <w:r w:rsidRPr="00F330E5">
        <w:rPr>
          <w:i/>
          <w:color w:val="auto"/>
          <w:lang w:val="es-CO" w:eastAsia="es-CO"/>
        </w:rPr>
        <w:t>También están obligadas a prestar la atención inicial de urgencias a todas las personas, todas las entidades públicas y privadas que presten servicios de salud. Para el pago de servicios prestados su prestación no requiere contrato ni orden previa y el reconocimiento del costo de estos servicios se efectuará mediante resolución motivada en caso de ser un ente público el pagador. La atención de urgencias en estas condiciones no constituye hecho cumplido para efectos presupuestales y deberá cancelarse máximo en los tres (3) meses siguientes a la radicación de la factura de cobro. (…)”</w:t>
      </w:r>
    </w:p>
    <w:p w14:paraId="70BFA5BB" w14:textId="77777777" w:rsidR="00F330E5" w:rsidRPr="00F330E5" w:rsidRDefault="00F330E5" w:rsidP="00F330E5">
      <w:pPr>
        <w:jc w:val="both"/>
        <w:rPr>
          <w:b/>
          <w:color w:val="FF0000"/>
        </w:rPr>
      </w:pPr>
    </w:p>
    <w:p w14:paraId="0345FA49" w14:textId="77777777" w:rsidR="00F330E5" w:rsidRPr="00F330E5" w:rsidRDefault="00F330E5" w:rsidP="00F330E5">
      <w:pPr>
        <w:pStyle w:val="Prrafodelista"/>
        <w:numPr>
          <w:ilvl w:val="0"/>
          <w:numId w:val="11"/>
        </w:numPr>
        <w:jc w:val="both"/>
        <w:rPr>
          <w:color w:val="auto"/>
          <w:lang w:val="es-CO" w:eastAsia="es-CO"/>
        </w:rPr>
      </w:pPr>
      <w:r w:rsidRPr="00F330E5">
        <w:rPr>
          <w:b/>
          <w:color w:val="auto"/>
        </w:rPr>
        <w:lastRenderedPageBreak/>
        <w:t xml:space="preserve">Decreto 1033 de 2014. </w:t>
      </w:r>
      <w:r w:rsidRPr="00F330E5">
        <w:rPr>
          <w:color w:val="auto"/>
          <w:lang w:val="es-CO" w:eastAsia="es-CO"/>
        </w:rPr>
        <w:t>“Por el cual se reglamenta la Ley </w:t>
      </w:r>
      <w:hyperlink r:id="rId20" w:anchor="0" w:history="1">
        <w:r w:rsidRPr="00F330E5">
          <w:rPr>
            <w:rStyle w:val="Hipervnculo"/>
            <w:rFonts w:cs="Arial"/>
            <w:color w:val="auto"/>
            <w:lang w:val="es-CO"/>
          </w:rPr>
          <w:t>1639</w:t>
        </w:r>
      </w:hyperlink>
      <w:r w:rsidRPr="00F330E5">
        <w:rPr>
          <w:color w:val="auto"/>
          <w:lang w:val="es-CO" w:eastAsia="es-CO"/>
        </w:rPr>
        <w:t> de 2013 por medio de la cual se fortalecen las medidas de protección a la integridad de las víctimas de crímenes con ácido y se adiciona el artículo </w:t>
      </w:r>
      <w:hyperlink r:id="rId21" w:anchor="113" w:history="1">
        <w:r w:rsidRPr="00F330E5">
          <w:rPr>
            <w:rStyle w:val="Hipervnculo"/>
            <w:rFonts w:cs="Arial"/>
            <w:color w:val="auto"/>
            <w:lang w:val="es-CO"/>
          </w:rPr>
          <w:t>113</w:t>
        </w:r>
      </w:hyperlink>
      <w:r w:rsidRPr="00F330E5">
        <w:rPr>
          <w:color w:val="auto"/>
          <w:lang w:val="es-CO" w:eastAsia="es-CO"/>
        </w:rPr>
        <w:t xml:space="preserve"> de la Ley 599 de 2000”. </w:t>
      </w:r>
    </w:p>
    <w:p w14:paraId="2E9F8608" w14:textId="77777777" w:rsidR="00F330E5" w:rsidRPr="00F330E5" w:rsidRDefault="00F330E5" w:rsidP="00F330E5">
      <w:pPr>
        <w:pStyle w:val="NormalWeb"/>
        <w:shd w:val="clear" w:color="auto" w:fill="FFFFFF"/>
        <w:ind w:left="708"/>
        <w:jc w:val="both"/>
        <w:rPr>
          <w:rFonts w:ascii="Arial" w:hAnsi="Arial" w:cs="Arial"/>
          <w:i/>
          <w:lang w:val="es-ES" w:eastAsia="es-ES"/>
        </w:rPr>
      </w:pPr>
      <w:r w:rsidRPr="00F330E5">
        <w:rPr>
          <w:rFonts w:ascii="Arial" w:hAnsi="Arial" w:cs="Arial"/>
          <w:i/>
        </w:rPr>
        <w:t>“</w:t>
      </w:r>
      <w:r w:rsidRPr="00F330E5">
        <w:rPr>
          <w:rFonts w:ascii="Arial" w:hAnsi="Arial" w:cs="Arial"/>
          <w:b/>
          <w:bCs/>
          <w:i/>
          <w:lang w:val="es-ES" w:eastAsia="es-ES"/>
        </w:rPr>
        <w:t>Artículo 1°. Objeto. </w:t>
      </w:r>
      <w:r w:rsidRPr="00F330E5">
        <w:rPr>
          <w:rFonts w:ascii="Arial" w:hAnsi="Arial" w:cs="Arial"/>
          <w:i/>
          <w:lang w:val="es-ES" w:eastAsia="es-ES"/>
        </w:rPr>
        <w:t>El presente decreto tiene por objeto reglamentar el funcionamiento del régimen de regulación de venta de los ácidos, álcalis o sustancias similares o corrosivas que generen daño o destrucción al entrar en contacto con el tejido humano; la ruta de atención integral para las víctimas de ataques con estas sustancias; y reforzar la garantía de la atención integral en salud para las víctimas de ataques con los productos antes mencionados.</w:t>
      </w:r>
    </w:p>
    <w:p w14:paraId="38E5ADA3" w14:textId="77777777" w:rsidR="00F330E5" w:rsidRPr="00F330E5" w:rsidRDefault="00F330E5" w:rsidP="00F330E5">
      <w:pPr>
        <w:pStyle w:val="NormalWeb"/>
        <w:shd w:val="clear" w:color="auto" w:fill="FFFFFF"/>
        <w:ind w:left="708"/>
        <w:jc w:val="both"/>
        <w:rPr>
          <w:rFonts w:ascii="Arial" w:hAnsi="Arial" w:cs="Arial"/>
          <w:i/>
          <w:lang w:val="es-ES" w:eastAsia="es-ES"/>
        </w:rPr>
      </w:pPr>
      <w:r w:rsidRPr="00F330E5">
        <w:rPr>
          <w:rFonts w:ascii="Arial" w:hAnsi="Arial" w:cs="Arial"/>
          <w:i/>
          <w:lang w:val="es-ES" w:eastAsia="es-ES"/>
        </w:rPr>
        <w:t>(…)</w:t>
      </w:r>
    </w:p>
    <w:p w14:paraId="5E4310B1" w14:textId="77777777" w:rsidR="00F330E5" w:rsidRPr="00F330E5" w:rsidRDefault="00F330E5" w:rsidP="00F330E5">
      <w:pPr>
        <w:shd w:val="clear" w:color="auto" w:fill="FFFFFF"/>
        <w:spacing w:before="100" w:beforeAutospacing="1" w:after="100" w:afterAutospacing="1"/>
        <w:ind w:left="708"/>
        <w:jc w:val="center"/>
        <w:rPr>
          <w:i/>
          <w:color w:val="auto"/>
        </w:rPr>
      </w:pPr>
      <w:r w:rsidRPr="00F330E5">
        <w:rPr>
          <w:b/>
          <w:bCs/>
          <w:i/>
          <w:color w:val="auto"/>
        </w:rPr>
        <w:t>CAPÍTULO III</w:t>
      </w:r>
    </w:p>
    <w:p w14:paraId="4DE44545" w14:textId="77777777" w:rsidR="00F330E5" w:rsidRPr="00F330E5" w:rsidRDefault="00F330E5" w:rsidP="00F330E5">
      <w:pPr>
        <w:spacing w:before="100" w:beforeAutospacing="1" w:after="100" w:afterAutospacing="1"/>
        <w:ind w:left="708"/>
        <w:jc w:val="center"/>
        <w:rPr>
          <w:b/>
          <w:bCs/>
          <w:i/>
          <w:color w:val="auto"/>
          <w:shd w:val="clear" w:color="auto" w:fill="FFFFFF"/>
        </w:rPr>
      </w:pPr>
      <w:r w:rsidRPr="00F330E5">
        <w:rPr>
          <w:b/>
          <w:bCs/>
          <w:i/>
          <w:color w:val="auto"/>
          <w:shd w:val="clear" w:color="auto" w:fill="FFFFFF"/>
        </w:rPr>
        <w:t>Ruta de atención integral para las víctimas de ataques con ácidos, álcalis o sustancias similares o corrosivas que generen daño o destrucción al entrar en contacto con el tejido humano</w:t>
      </w:r>
    </w:p>
    <w:p w14:paraId="49424248" w14:textId="77777777" w:rsidR="00F330E5" w:rsidRPr="00F330E5" w:rsidRDefault="00F330E5" w:rsidP="00F330E5">
      <w:pPr>
        <w:shd w:val="clear" w:color="auto" w:fill="FFFFFF"/>
        <w:spacing w:before="100" w:beforeAutospacing="1" w:after="100" w:afterAutospacing="1"/>
        <w:ind w:left="708"/>
        <w:jc w:val="both"/>
        <w:rPr>
          <w:i/>
          <w:color w:val="auto"/>
        </w:rPr>
      </w:pPr>
      <w:r w:rsidRPr="00F330E5">
        <w:rPr>
          <w:b/>
          <w:bCs/>
          <w:i/>
          <w:color w:val="auto"/>
        </w:rPr>
        <w:t>Artículo 10. Ruta intersectorial de atención integral.</w:t>
      </w:r>
      <w:r w:rsidRPr="00F330E5">
        <w:rPr>
          <w:i/>
          <w:iCs/>
          <w:color w:val="auto"/>
        </w:rPr>
        <w:t> </w:t>
      </w:r>
      <w:r w:rsidRPr="00F330E5">
        <w:rPr>
          <w:i/>
          <w:color w:val="auto"/>
        </w:rPr>
        <w:t>La ruta intersectorial de atención integral tiene por objeto garantizar el restablecimiento efectivo de los derechos de las víctimas de crímenes con ácido, álcalis o sustancias similares o corrosivas que generen daño o destrucción al entrar en contacto con el tejido humano, de manera articulada, de conformidad con los principios constitucionales de colaboración armónica y de coordinación.</w:t>
      </w:r>
    </w:p>
    <w:p w14:paraId="0DF5924F" w14:textId="77777777" w:rsidR="00F330E5" w:rsidRPr="00F330E5" w:rsidRDefault="00F330E5" w:rsidP="00F330E5">
      <w:pPr>
        <w:shd w:val="clear" w:color="auto" w:fill="FFFFFF"/>
        <w:spacing w:before="100" w:beforeAutospacing="1" w:after="100" w:afterAutospacing="1"/>
        <w:ind w:left="708"/>
        <w:jc w:val="both"/>
        <w:rPr>
          <w:i/>
          <w:color w:val="auto"/>
        </w:rPr>
      </w:pPr>
      <w:r w:rsidRPr="00F330E5">
        <w:rPr>
          <w:i/>
          <w:color w:val="auto"/>
        </w:rPr>
        <w:t>La ruta intersectorial de atención integral tendrá los siguientes componentes: la atención integral en salud que incluye la atención de primeros auxilios, la protección a la víctima y su familia, el acceso a la justicia y la judicialización de los agresores, la ocupación laboral o la continuidad laboral de las víctimas, los cuales se desarrollan en el anexo técnico que hace parte integral de este decreto.</w:t>
      </w:r>
    </w:p>
    <w:p w14:paraId="20FAA57C" w14:textId="77777777" w:rsidR="00F330E5" w:rsidRPr="00F330E5" w:rsidRDefault="00F330E5" w:rsidP="00F330E5">
      <w:pPr>
        <w:shd w:val="clear" w:color="auto" w:fill="FFFFFF"/>
        <w:spacing w:before="100" w:beforeAutospacing="1" w:after="100" w:afterAutospacing="1"/>
        <w:ind w:left="708"/>
        <w:jc w:val="both"/>
        <w:rPr>
          <w:i/>
          <w:color w:val="auto"/>
        </w:rPr>
      </w:pPr>
      <w:r w:rsidRPr="00F330E5">
        <w:rPr>
          <w:b/>
          <w:bCs/>
          <w:i/>
          <w:color w:val="auto"/>
        </w:rPr>
        <w:t>Artículo 11. Responsables de la puesta en marcha y funcionamiento de la ruta intersectorial de atención.</w:t>
      </w:r>
      <w:r w:rsidRPr="00F330E5">
        <w:rPr>
          <w:i/>
          <w:iCs/>
          <w:color w:val="auto"/>
        </w:rPr>
        <w:t> </w:t>
      </w:r>
      <w:r w:rsidRPr="00F330E5">
        <w:rPr>
          <w:i/>
          <w:color w:val="auto"/>
        </w:rPr>
        <w:t xml:space="preserve">En el ámbito de sus competencias, la Policía Nacional, la Fiscalía General de la Nación, el Instituto Nacional de Medicina Legal y Ciencias Forenses, el Instituto Colombiano de Bienestar </w:t>
      </w:r>
      <w:r w:rsidRPr="00F330E5">
        <w:rPr>
          <w:i/>
          <w:color w:val="auto"/>
        </w:rPr>
        <w:lastRenderedPageBreak/>
        <w:t>Familiar, las entidades territoriales, las entidades promotoras de salud, las instituciones prestadoras de servicios de salud y las inspecciones del trabajo, entre otras, participarán en la puesta en marcha y el adecuado funcionamiento de la ruta de atención integral para las víctimas de ataques con ácidos, álcalis o sustancias similares o corrosivas que generen daño o destrucción al entrar en contacto con el tejido humano, con base en el anexo técnico que integra el presente acto administrativo.</w:t>
      </w:r>
    </w:p>
    <w:p w14:paraId="4AAB5625" w14:textId="77777777" w:rsidR="00F330E5" w:rsidRPr="00F330E5" w:rsidRDefault="00F330E5" w:rsidP="00F330E5">
      <w:pPr>
        <w:pStyle w:val="NormalWeb"/>
        <w:ind w:left="708"/>
        <w:jc w:val="center"/>
        <w:rPr>
          <w:rFonts w:ascii="Arial" w:hAnsi="Arial" w:cs="Arial"/>
          <w:b/>
          <w:bCs/>
          <w:i/>
          <w:shd w:val="clear" w:color="auto" w:fill="FFFFFF"/>
        </w:rPr>
      </w:pPr>
      <w:r w:rsidRPr="00F330E5">
        <w:rPr>
          <w:rFonts w:ascii="Arial" w:hAnsi="Arial" w:cs="Arial"/>
          <w:b/>
          <w:bCs/>
          <w:i/>
          <w:shd w:val="clear" w:color="auto" w:fill="FFFFFF"/>
        </w:rPr>
        <w:t>CAPÍTULO IV</w:t>
      </w:r>
    </w:p>
    <w:p w14:paraId="2A14A9F3" w14:textId="77777777" w:rsidR="00F330E5" w:rsidRPr="00F330E5" w:rsidRDefault="00F330E5" w:rsidP="00F330E5">
      <w:pPr>
        <w:pStyle w:val="NormalWeb"/>
        <w:ind w:left="708"/>
        <w:jc w:val="center"/>
        <w:rPr>
          <w:rFonts w:ascii="Arial" w:hAnsi="Arial" w:cs="Arial"/>
          <w:b/>
          <w:bCs/>
          <w:i/>
          <w:shd w:val="clear" w:color="auto" w:fill="FFFFFF"/>
        </w:rPr>
      </w:pPr>
      <w:r w:rsidRPr="00F330E5">
        <w:rPr>
          <w:rFonts w:ascii="Arial" w:hAnsi="Arial" w:cs="Arial"/>
          <w:b/>
          <w:bCs/>
          <w:i/>
          <w:shd w:val="clear" w:color="auto" w:fill="FFFFFF"/>
        </w:rPr>
        <w:t>Fortalecimiento de la garantía de la atención integral en salud para las víctimas de ataques con ácidos, álcalis o sustancias similares o corrosivas que generen daño o destrucción al entrar en contacto con el tejido humano</w:t>
      </w:r>
    </w:p>
    <w:p w14:paraId="75C8A751" w14:textId="77777777" w:rsidR="00F330E5" w:rsidRPr="00F330E5" w:rsidRDefault="00F330E5" w:rsidP="00F330E5">
      <w:pPr>
        <w:pStyle w:val="NormalWeb"/>
        <w:shd w:val="clear" w:color="auto" w:fill="FFFFFF"/>
        <w:ind w:left="708"/>
        <w:jc w:val="both"/>
        <w:rPr>
          <w:rFonts w:ascii="Arial" w:hAnsi="Arial" w:cs="Arial"/>
          <w:i/>
        </w:rPr>
      </w:pPr>
      <w:r w:rsidRPr="00F330E5">
        <w:rPr>
          <w:rFonts w:ascii="Arial" w:hAnsi="Arial" w:cs="Arial"/>
          <w:b/>
          <w:bCs/>
          <w:i/>
        </w:rPr>
        <w:t>Artículo 12. Garantía de la atención en salud. </w:t>
      </w:r>
      <w:r w:rsidRPr="00F330E5">
        <w:rPr>
          <w:rFonts w:ascii="Arial" w:hAnsi="Arial" w:cs="Arial"/>
          <w:i/>
        </w:rPr>
        <w:t>Las entidades promotoras de salud y las entidades territoriales, según corresponda, a través de su red de prestación de servicios, garantizarán a las víctimas de ataques con ácidos, álcalis o sustancias similares o corrosivas, a quienes se cause destrucción de tejidos, deformidad o disfuncionalidad, de manera prioritaria, en consideración a su especial situación de vulnerabilidad, los servicios, tratamientos médicos y psicológicos, procedimientos e intervenciones necesarios para restituir la fisionomía y funcionalidad de las partes afectadas, de conformidad con lo previsto en el artículo </w:t>
      </w:r>
      <w:hyperlink r:id="rId22" w:anchor="53A" w:history="1">
        <w:r w:rsidRPr="00F330E5">
          <w:rPr>
            <w:rStyle w:val="Hipervnculo"/>
            <w:rFonts w:ascii="Arial" w:hAnsi="Arial" w:cs="Arial"/>
            <w:i/>
            <w:color w:val="auto"/>
          </w:rPr>
          <w:t>53A</w:t>
        </w:r>
      </w:hyperlink>
      <w:r w:rsidRPr="00F330E5">
        <w:rPr>
          <w:rFonts w:ascii="Arial" w:hAnsi="Arial" w:cs="Arial"/>
          <w:i/>
        </w:rPr>
        <w:t> de la Ley 1438 de 2011, adicionado por el artículo 5° de la Ley 1639 de 2013.</w:t>
      </w:r>
    </w:p>
    <w:p w14:paraId="2DC7B8AD" w14:textId="77777777" w:rsidR="00F330E5" w:rsidRPr="00F330E5" w:rsidRDefault="00F330E5" w:rsidP="00F330E5">
      <w:pPr>
        <w:pStyle w:val="NormalWeb"/>
        <w:shd w:val="clear" w:color="auto" w:fill="FFFFFF"/>
        <w:ind w:left="708"/>
        <w:jc w:val="both"/>
        <w:rPr>
          <w:rFonts w:ascii="Arial" w:hAnsi="Arial" w:cs="Arial"/>
          <w:i/>
        </w:rPr>
      </w:pPr>
      <w:r w:rsidRPr="00F330E5">
        <w:rPr>
          <w:rFonts w:ascii="Arial" w:hAnsi="Arial" w:cs="Arial"/>
          <w:b/>
          <w:bCs/>
          <w:i/>
        </w:rPr>
        <w:t>Parágrafo.</w:t>
      </w:r>
      <w:r w:rsidRPr="00F330E5">
        <w:rPr>
          <w:rFonts w:ascii="Arial" w:hAnsi="Arial" w:cs="Arial"/>
          <w:i/>
        </w:rPr>
        <w:t> La Superintendencia Nacional de Salud y las entidades territoriales, en el marco de sus competencias de inspección, vigilancia y control, ejercerán seguimiento a la atención integral en salud que se preste a las víctimas.</w:t>
      </w:r>
    </w:p>
    <w:p w14:paraId="62048E33" w14:textId="77777777" w:rsidR="00F330E5" w:rsidRPr="00F330E5" w:rsidRDefault="00F330E5" w:rsidP="00F330E5">
      <w:pPr>
        <w:pStyle w:val="NormalWeb"/>
        <w:shd w:val="clear" w:color="auto" w:fill="FFFFFF"/>
        <w:ind w:left="708"/>
        <w:jc w:val="both"/>
        <w:rPr>
          <w:rFonts w:ascii="Arial" w:hAnsi="Arial" w:cs="Arial"/>
          <w:i/>
        </w:rPr>
      </w:pPr>
      <w:r w:rsidRPr="00F330E5">
        <w:rPr>
          <w:rFonts w:ascii="Arial" w:hAnsi="Arial" w:cs="Arial"/>
          <w:b/>
          <w:bCs/>
          <w:i/>
        </w:rPr>
        <w:t>Artículo 13. Tecnologías en salud no incluidas en el plan de beneficios.</w:t>
      </w:r>
      <w:r w:rsidRPr="00F330E5">
        <w:rPr>
          <w:rFonts w:ascii="Arial" w:hAnsi="Arial" w:cs="Arial"/>
          <w:i/>
          <w:iCs/>
        </w:rPr>
        <w:t> </w:t>
      </w:r>
      <w:r w:rsidRPr="00F330E5">
        <w:rPr>
          <w:rFonts w:ascii="Arial" w:hAnsi="Arial" w:cs="Arial"/>
          <w:i/>
        </w:rPr>
        <w:t>La aprobación de las tecnologías en salud requeridas por las víctimas de que trata la Ley 1639 de 2013, que no se encuentren incluidas en el plan obligatorio de salud, serán tramitadas por el médico tratante de la víctima ante el Comité Técnico Científico de la EPS, siguiendo el procedimiento señalado en la Resolución número 5395 de 2013 o la norma que la modifique, adicione o sustituya.</w:t>
      </w:r>
    </w:p>
    <w:p w14:paraId="63D0340F" w14:textId="77777777" w:rsidR="00F330E5" w:rsidRPr="00F330E5" w:rsidRDefault="00F330E5" w:rsidP="00F330E5">
      <w:pPr>
        <w:pStyle w:val="NormalWeb"/>
        <w:shd w:val="clear" w:color="auto" w:fill="FFFFFF"/>
        <w:ind w:left="708"/>
        <w:jc w:val="both"/>
        <w:rPr>
          <w:rFonts w:ascii="Arial" w:hAnsi="Arial" w:cs="Arial"/>
          <w:i/>
        </w:rPr>
      </w:pPr>
      <w:r w:rsidRPr="00F330E5">
        <w:rPr>
          <w:rFonts w:ascii="Arial" w:hAnsi="Arial" w:cs="Arial"/>
          <w:i/>
        </w:rPr>
        <w:lastRenderedPageBreak/>
        <w:t xml:space="preserve">Para el recobro ante el </w:t>
      </w:r>
      <w:proofErr w:type="spellStart"/>
      <w:r w:rsidRPr="00F330E5">
        <w:rPr>
          <w:rFonts w:ascii="Arial" w:hAnsi="Arial" w:cs="Arial"/>
          <w:i/>
        </w:rPr>
        <w:t>Fosyga</w:t>
      </w:r>
      <w:proofErr w:type="spellEnd"/>
      <w:r w:rsidRPr="00F330E5">
        <w:rPr>
          <w:rFonts w:ascii="Arial" w:hAnsi="Arial" w:cs="Arial"/>
          <w:i/>
        </w:rPr>
        <w:t xml:space="preserve"> o la entidad territorial, según corresponda, el Comité Técnico Científico de la EPS o de la EPS-S, deberá informar en el acta del CTC el carácter de víctima de ataque con ácido, álcalis o sustancia similar o corrosiva y la relación de la tecnología en salud a recobrar con la afectación física y mental derivada del ataque, conforme a lo establecido en el artículo 10 de la Resolución número 5395 de 2013 y el artículo 3° de la Resolución número 5073 de 2013 respectivamente, o las normas que las modifiquen o sustituyan, de acuerdo al régimen al que pertenezcan.</w:t>
      </w:r>
    </w:p>
    <w:p w14:paraId="456A151E" w14:textId="77777777" w:rsidR="00F330E5" w:rsidRPr="00F330E5" w:rsidRDefault="00F330E5" w:rsidP="00F330E5">
      <w:pPr>
        <w:pStyle w:val="NormalWeb"/>
        <w:shd w:val="clear" w:color="auto" w:fill="FFFFFF"/>
        <w:ind w:left="708"/>
        <w:jc w:val="both"/>
        <w:rPr>
          <w:rFonts w:ascii="Arial" w:hAnsi="Arial" w:cs="Arial"/>
          <w:i/>
        </w:rPr>
      </w:pPr>
      <w:r w:rsidRPr="00F330E5">
        <w:rPr>
          <w:rFonts w:ascii="Arial" w:hAnsi="Arial" w:cs="Arial"/>
          <w:b/>
          <w:bCs/>
          <w:i/>
        </w:rPr>
        <w:t>Parágrafo.</w:t>
      </w:r>
      <w:r w:rsidRPr="00F330E5">
        <w:rPr>
          <w:rFonts w:ascii="Arial" w:hAnsi="Arial" w:cs="Arial"/>
          <w:i/>
        </w:rPr>
        <w:t> En caso que las víctimas de ataque con ácido, álcalis o sustancia similar o corrosiva que generen daño, se encuentren en una situación en la que a criterio del profesional de la salud que brinde la atención médica, se ponga en riesgo su vida o su integridad personal y requieran una tecnología en salud no POS, se deberá surtir el proceso definido en el parágrafo del artículo 10 de la Resolución número 5395 de 2013 y artículo 3° de la Resolución número 5073 de 2013 respectivamente, o las normas que las modifiquen o sustituyan, de acuerdo al régimen al que pertenezcan.</w:t>
      </w:r>
    </w:p>
    <w:p w14:paraId="11B8E86F" w14:textId="77777777" w:rsidR="00F330E5" w:rsidRPr="00F330E5" w:rsidRDefault="00F330E5" w:rsidP="00F330E5">
      <w:pPr>
        <w:pStyle w:val="NormalWeb"/>
        <w:shd w:val="clear" w:color="auto" w:fill="FFFFFF"/>
        <w:ind w:left="708"/>
        <w:jc w:val="both"/>
        <w:rPr>
          <w:rFonts w:ascii="Arial" w:hAnsi="Arial" w:cs="Arial"/>
          <w:i/>
        </w:rPr>
      </w:pPr>
      <w:r w:rsidRPr="00F330E5">
        <w:rPr>
          <w:rFonts w:ascii="Arial" w:hAnsi="Arial" w:cs="Arial"/>
          <w:b/>
          <w:bCs/>
          <w:i/>
        </w:rPr>
        <w:t>Artículo 14. Sistemas de información para la caracterización del evento. </w:t>
      </w:r>
      <w:r w:rsidRPr="00F330E5">
        <w:rPr>
          <w:rFonts w:ascii="Arial" w:hAnsi="Arial" w:cs="Arial"/>
          <w:i/>
        </w:rPr>
        <w:t>Los reportes de información, monitoreo y vigilancia que alimentan el Sistema Nacional de Vigilancia en Salud Pública (</w:t>
      </w:r>
      <w:proofErr w:type="spellStart"/>
      <w:r w:rsidRPr="00F330E5">
        <w:rPr>
          <w:rFonts w:ascii="Arial" w:hAnsi="Arial" w:cs="Arial"/>
          <w:i/>
        </w:rPr>
        <w:t>Sivigila</w:t>
      </w:r>
      <w:proofErr w:type="spellEnd"/>
      <w:r w:rsidRPr="00F330E5">
        <w:rPr>
          <w:rFonts w:ascii="Arial" w:hAnsi="Arial" w:cs="Arial"/>
          <w:i/>
        </w:rPr>
        <w:t>) y el administrado por el Instituto Nacional de Medicina Legal y Ciencias Forenses, serán fortalecidos para caracterizar con mayor calidad los eventos relacionados con ataques con ácidos, álcalis o sustancias similares o corrosivas.</w:t>
      </w:r>
    </w:p>
    <w:p w14:paraId="7DB99734" w14:textId="77777777" w:rsidR="00F330E5" w:rsidRPr="00F330E5" w:rsidRDefault="00F330E5" w:rsidP="00F330E5">
      <w:pPr>
        <w:pStyle w:val="NormalWeb"/>
        <w:shd w:val="clear" w:color="auto" w:fill="FFFFFF"/>
        <w:ind w:left="708"/>
        <w:jc w:val="both"/>
        <w:rPr>
          <w:rFonts w:ascii="Arial" w:hAnsi="Arial" w:cs="Arial"/>
          <w:color w:val="333333"/>
        </w:rPr>
      </w:pPr>
      <w:r w:rsidRPr="00F330E5">
        <w:rPr>
          <w:rFonts w:ascii="Arial" w:hAnsi="Arial" w:cs="Arial"/>
          <w:b/>
          <w:bCs/>
          <w:i/>
        </w:rPr>
        <w:t>Parágrafo. </w:t>
      </w:r>
      <w:r w:rsidRPr="00F330E5">
        <w:rPr>
          <w:rFonts w:ascii="Arial" w:hAnsi="Arial" w:cs="Arial"/>
          <w:i/>
        </w:rPr>
        <w:t>En virtud de lo previsto en el parágrafo </w:t>
      </w:r>
      <w:hyperlink r:id="rId23" w:anchor="3.P.2" w:history="1">
        <w:r w:rsidRPr="00F330E5">
          <w:rPr>
            <w:rStyle w:val="Hipervnculo"/>
            <w:rFonts w:ascii="Arial" w:hAnsi="Arial" w:cs="Arial"/>
            <w:i/>
            <w:color w:val="auto"/>
          </w:rPr>
          <w:t>2°</w:t>
        </w:r>
      </w:hyperlink>
      <w:r w:rsidRPr="00F330E5">
        <w:rPr>
          <w:rFonts w:ascii="Arial" w:hAnsi="Arial" w:cs="Arial"/>
          <w:i/>
        </w:rPr>
        <w:t> del artículo 3° de la Ley 1639 de 2013, y en desarrollo del principio de colaboración armónica, a partir de la entrada en vigencia del presente decreto, las autoridades pondrán a disposición del Ministerio de Salud y Protección Social, de manera permanente, la información relevante con que cuenten para la identificación de las sustancias o productos utilizados en los ataques con ácidos, álcalis o sustancias similares o corrosivas. (…)”</w:t>
      </w:r>
    </w:p>
    <w:p w14:paraId="53EA9E86" w14:textId="77777777" w:rsidR="00F330E5" w:rsidRPr="00F330E5" w:rsidRDefault="00F330E5" w:rsidP="00F330E5">
      <w:pPr>
        <w:jc w:val="both"/>
        <w:rPr>
          <w:color w:val="FF0000"/>
          <w:lang w:val="es-CO" w:eastAsia="es-CO"/>
        </w:rPr>
      </w:pPr>
    </w:p>
    <w:p w14:paraId="6AD0659A" w14:textId="77777777" w:rsidR="00F330E5" w:rsidRPr="00F330E5" w:rsidRDefault="00F330E5" w:rsidP="00F330E5">
      <w:pPr>
        <w:pStyle w:val="Prrafodelista"/>
        <w:numPr>
          <w:ilvl w:val="0"/>
          <w:numId w:val="11"/>
        </w:numPr>
        <w:jc w:val="both"/>
        <w:rPr>
          <w:rStyle w:val="Hipervnculo"/>
          <w:rFonts w:cs="Arial"/>
          <w:b/>
          <w:color w:val="auto"/>
          <w:lang w:val="es-CO"/>
        </w:rPr>
      </w:pPr>
      <w:r w:rsidRPr="00F330E5">
        <w:rPr>
          <w:b/>
          <w:color w:val="auto"/>
          <w:lang w:val="es-CO" w:eastAsia="es-CO"/>
        </w:rPr>
        <w:t xml:space="preserve">Decreto 555 de 2011. </w:t>
      </w:r>
      <w:r w:rsidRPr="00F330E5">
        <w:rPr>
          <w:rStyle w:val="Hipervnculo"/>
          <w:rFonts w:cs="Arial"/>
          <w:color w:val="auto"/>
          <w:lang w:val="es-CO"/>
        </w:rPr>
        <w:t>“Por el cual se modifica la estructura organizacional de la Unidad Administrativa Especial Cuerpo Oficial de Bomberos de Bogotá, D.C.”</w:t>
      </w:r>
    </w:p>
    <w:p w14:paraId="57D6A680" w14:textId="77777777" w:rsidR="00F330E5" w:rsidRPr="00F330E5" w:rsidRDefault="00F330E5" w:rsidP="00F330E5">
      <w:pPr>
        <w:pStyle w:val="Prrafodelista"/>
        <w:rPr>
          <w:b/>
          <w:color w:val="FF0000"/>
          <w:lang w:val="es-CO" w:eastAsia="es-CO"/>
        </w:rPr>
      </w:pPr>
    </w:p>
    <w:p w14:paraId="60BE6985" w14:textId="77777777" w:rsidR="00F330E5" w:rsidRPr="00F330E5" w:rsidRDefault="00F330E5" w:rsidP="00F330E5">
      <w:pPr>
        <w:pStyle w:val="Prrafodelista"/>
        <w:ind w:left="720"/>
        <w:jc w:val="both"/>
        <w:rPr>
          <w:rStyle w:val="Hipervnculo"/>
          <w:rFonts w:cs="Arial"/>
          <w:i/>
          <w:color w:val="auto"/>
          <w:lang w:val="es-CO"/>
        </w:rPr>
      </w:pPr>
      <w:r w:rsidRPr="00F330E5">
        <w:rPr>
          <w:rStyle w:val="Hipervnculo"/>
          <w:rFonts w:cs="Arial"/>
          <w:b/>
          <w:i/>
          <w:color w:val="auto"/>
          <w:lang w:val="es-CO"/>
        </w:rPr>
        <w:lastRenderedPageBreak/>
        <w:t>“(…) Artículo 2º.-</w:t>
      </w:r>
      <w:r w:rsidRPr="00F330E5">
        <w:rPr>
          <w:rStyle w:val="Hipervnculo"/>
          <w:rFonts w:cs="Arial"/>
          <w:i/>
          <w:color w:val="auto"/>
          <w:lang w:val="es-CO"/>
        </w:rPr>
        <w:t xml:space="preserve"> Funciones. Además de las funciones generales establecidas mediante el artículo 12 de la Ley 322 de 1996, la Unidad Administrativa Especial Cuerpo Oficial de Bomberos cumplirá las siguientes:</w:t>
      </w:r>
    </w:p>
    <w:p w14:paraId="03E2F82D" w14:textId="77777777" w:rsidR="00F330E5" w:rsidRPr="00F330E5" w:rsidRDefault="00F330E5" w:rsidP="00F330E5">
      <w:pPr>
        <w:pStyle w:val="Prrafodelista"/>
        <w:ind w:left="720"/>
        <w:jc w:val="both"/>
        <w:rPr>
          <w:rStyle w:val="Hipervnculo"/>
          <w:rFonts w:cs="Arial"/>
          <w:i/>
          <w:color w:val="auto"/>
          <w:lang w:val="es-CO"/>
        </w:rPr>
      </w:pPr>
    </w:p>
    <w:p w14:paraId="35577631" w14:textId="77777777" w:rsidR="00F330E5" w:rsidRPr="00F330E5" w:rsidRDefault="00F330E5" w:rsidP="00F330E5">
      <w:pPr>
        <w:shd w:val="clear" w:color="auto" w:fill="FFFFFF"/>
        <w:spacing w:after="150"/>
        <w:ind w:left="709"/>
        <w:jc w:val="both"/>
        <w:rPr>
          <w:rStyle w:val="Hipervnculo"/>
          <w:rFonts w:cs="Arial"/>
          <w:i/>
          <w:color w:val="auto"/>
        </w:rPr>
      </w:pPr>
      <w:r w:rsidRPr="00F330E5">
        <w:rPr>
          <w:rStyle w:val="Hipervnculo"/>
          <w:rFonts w:cs="Arial"/>
          <w:i/>
          <w:color w:val="auto"/>
        </w:rPr>
        <w:t>1. Gerenciar los proyectos de desarrollo institucional articulados con los programas de gestión integral del riesgo de incendio, preparativos y atención de rescates, e incidentes con materiales peligrosos que formule el Gobierno Distrital para la capital y la región, en el marco del Sistema Distrital de Prevención y Atención de Emergencias.</w:t>
      </w:r>
    </w:p>
    <w:p w14:paraId="775E1734" w14:textId="77777777" w:rsidR="00F330E5" w:rsidRPr="00F330E5" w:rsidRDefault="00F330E5" w:rsidP="00F330E5">
      <w:pPr>
        <w:shd w:val="clear" w:color="auto" w:fill="FFFFFF"/>
        <w:spacing w:after="150"/>
        <w:ind w:left="709"/>
        <w:jc w:val="both"/>
        <w:rPr>
          <w:rStyle w:val="Hipervnculo"/>
          <w:rFonts w:cs="Arial"/>
          <w:i/>
          <w:color w:val="auto"/>
        </w:rPr>
      </w:pPr>
      <w:r w:rsidRPr="00F330E5">
        <w:rPr>
          <w:rStyle w:val="Hipervnculo"/>
          <w:rFonts w:cs="Arial"/>
          <w:i/>
          <w:color w:val="auto"/>
        </w:rPr>
        <w:t xml:space="preserve">2. Asesorar al/la </w:t>
      </w:r>
      <w:proofErr w:type="gramStart"/>
      <w:r w:rsidRPr="00F330E5">
        <w:rPr>
          <w:rStyle w:val="Hipervnculo"/>
          <w:rFonts w:cs="Arial"/>
          <w:i/>
          <w:color w:val="auto"/>
        </w:rPr>
        <w:t>Secretario</w:t>
      </w:r>
      <w:proofErr w:type="gramEnd"/>
      <w:r w:rsidRPr="00F330E5">
        <w:rPr>
          <w:rStyle w:val="Hipervnculo"/>
          <w:rFonts w:cs="Arial"/>
          <w:i/>
          <w:color w:val="auto"/>
        </w:rPr>
        <w:t>/a Distrital de Gobierno en lo referente a la formulación de políticas para la prevención y atención de incendios.</w:t>
      </w:r>
    </w:p>
    <w:p w14:paraId="6FAD2B2F" w14:textId="77777777" w:rsidR="00F330E5" w:rsidRPr="00F330E5" w:rsidRDefault="00F330E5" w:rsidP="00F330E5">
      <w:pPr>
        <w:pStyle w:val="Prrafodelista"/>
        <w:ind w:left="720"/>
        <w:jc w:val="both"/>
        <w:rPr>
          <w:i/>
          <w:color w:val="auto"/>
          <w:shd w:val="clear" w:color="auto" w:fill="FFFFFF"/>
        </w:rPr>
      </w:pPr>
      <w:r w:rsidRPr="00F330E5">
        <w:rPr>
          <w:i/>
          <w:color w:val="auto"/>
          <w:shd w:val="clear" w:color="auto" w:fill="FFFFFF"/>
        </w:rPr>
        <w:t>3. Atender oportunamente las emergencias relacionadas con incendios, explosiones e incidentes con materiales peligrosos.</w:t>
      </w:r>
    </w:p>
    <w:p w14:paraId="615EAFAB" w14:textId="77777777" w:rsidR="00F330E5" w:rsidRPr="00F330E5" w:rsidRDefault="00F330E5" w:rsidP="00F330E5">
      <w:pPr>
        <w:pStyle w:val="Prrafodelista"/>
        <w:ind w:left="720"/>
        <w:jc w:val="both"/>
        <w:rPr>
          <w:b/>
          <w:i/>
          <w:color w:val="auto"/>
          <w:lang w:val="es-CO" w:eastAsia="es-CO"/>
        </w:rPr>
      </w:pPr>
    </w:p>
    <w:p w14:paraId="08862E3B" w14:textId="77777777" w:rsidR="00F330E5" w:rsidRPr="00F330E5" w:rsidRDefault="00F330E5" w:rsidP="00F330E5">
      <w:pPr>
        <w:pStyle w:val="Prrafodelista"/>
        <w:ind w:left="720"/>
        <w:jc w:val="both"/>
        <w:rPr>
          <w:b/>
          <w:i/>
          <w:color w:val="auto"/>
          <w:lang w:val="es-CO" w:eastAsia="es-CO"/>
        </w:rPr>
      </w:pPr>
      <w:r w:rsidRPr="00F330E5">
        <w:rPr>
          <w:i/>
          <w:color w:val="auto"/>
          <w:shd w:val="clear" w:color="auto" w:fill="FFFFFF"/>
        </w:rPr>
        <w:t xml:space="preserve">4. Desarrollar campañas públicas y programas de prevención de incendios e incidentes con materiales peligrosos en coordinación con el Fondo de Prevención y Atención de Emergencias y demás organismos que contribuyan al logro de su misión. </w:t>
      </w:r>
    </w:p>
    <w:p w14:paraId="1EA8519F" w14:textId="77777777" w:rsidR="00F330E5" w:rsidRPr="00F330E5" w:rsidRDefault="00F330E5" w:rsidP="00F330E5">
      <w:pPr>
        <w:pStyle w:val="Prrafodelista"/>
        <w:ind w:left="720"/>
        <w:jc w:val="both"/>
        <w:rPr>
          <w:b/>
          <w:i/>
          <w:color w:val="auto"/>
          <w:lang w:val="es-CO" w:eastAsia="es-CO"/>
        </w:rPr>
      </w:pPr>
    </w:p>
    <w:p w14:paraId="3A4FFF7A" w14:textId="77777777" w:rsidR="00F330E5" w:rsidRPr="00F330E5" w:rsidRDefault="00F330E5" w:rsidP="00F330E5">
      <w:pPr>
        <w:shd w:val="clear" w:color="auto" w:fill="FFFFFF"/>
        <w:spacing w:after="150"/>
        <w:ind w:left="709"/>
        <w:jc w:val="both"/>
        <w:rPr>
          <w:i/>
          <w:color w:val="auto"/>
          <w:lang w:val="es-CO" w:eastAsia="es-CO"/>
        </w:rPr>
      </w:pPr>
      <w:r w:rsidRPr="00F330E5">
        <w:rPr>
          <w:i/>
          <w:color w:val="auto"/>
          <w:lang w:val="es-CO" w:eastAsia="es-CO"/>
        </w:rPr>
        <w:t>6. Coordinar con las autoridades locales y nacionales las acciones de prevención y atención contra incendios, conforme a lo previsto en los planes y programas del Sistema Distrital de Prevención y Atención de Emergencias.</w:t>
      </w:r>
    </w:p>
    <w:p w14:paraId="2A08C66F" w14:textId="77777777" w:rsidR="00F330E5" w:rsidRPr="00F330E5" w:rsidRDefault="00F330E5" w:rsidP="00F330E5">
      <w:pPr>
        <w:shd w:val="clear" w:color="auto" w:fill="FFFFFF"/>
        <w:spacing w:after="150"/>
        <w:ind w:left="709"/>
        <w:jc w:val="both"/>
        <w:rPr>
          <w:i/>
          <w:color w:val="auto"/>
          <w:lang w:val="es-CO" w:eastAsia="es-CO"/>
        </w:rPr>
      </w:pPr>
      <w:r w:rsidRPr="00F330E5">
        <w:rPr>
          <w:i/>
          <w:color w:val="auto"/>
          <w:lang w:val="es-CO" w:eastAsia="es-CO"/>
        </w:rPr>
        <w:t>7. Generar programas de capacitación para los habitantes del Distrito Capital en materia de prevención y control de incendios y demás emergencias conexas.</w:t>
      </w:r>
    </w:p>
    <w:p w14:paraId="2DB1655F" w14:textId="77777777" w:rsidR="00F330E5" w:rsidRPr="00F330E5" w:rsidRDefault="00F330E5" w:rsidP="00F330E5">
      <w:pPr>
        <w:pStyle w:val="Prrafodelista"/>
        <w:ind w:left="720"/>
        <w:jc w:val="both"/>
        <w:rPr>
          <w:b/>
          <w:i/>
          <w:color w:val="auto"/>
          <w:lang w:val="es-CO" w:eastAsia="es-CO"/>
        </w:rPr>
      </w:pPr>
      <w:r w:rsidRPr="00F330E5">
        <w:rPr>
          <w:i/>
          <w:color w:val="auto"/>
          <w:shd w:val="clear" w:color="auto" w:fill="FFFFFF"/>
        </w:rPr>
        <w:t>9. Analizar y proponer modelos organizacionales para la respuesta a emergencias contra incendios en el Distrito Capital. (…)”</w:t>
      </w:r>
    </w:p>
    <w:p w14:paraId="098AA736" w14:textId="77777777" w:rsidR="00F330E5" w:rsidRPr="00F330E5" w:rsidRDefault="00F330E5" w:rsidP="00F330E5">
      <w:pPr>
        <w:jc w:val="both"/>
        <w:rPr>
          <w:color w:val="auto"/>
          <w:lang w:val="es-CO" w:eastAsia="es-CO"/>
        </w:rPr>
      </w:pPr>
    </w:p>
    <w:p w14:paraId="273D70DA" w14:textId="77777777" w:rsidR="00F330E5" w:rsidRPr="00F330E5" w:rsidRDefault="00F330E5" w:rsidP="00F330E5">
      <w:pPr>
        <w:pStyle w:val="Prrafodelista"/>
        <w:numPr>
          <w:ilvl w:val="0"/>
          <w:numId w:val="12"/>
        </w:numPr>
        <w:jc w:val="both"/>
        <w:rPr>
          <w:b/>
          <w:color w:val="auto"/>
          <w:lang w:val="es-CO" w:eastAsia="es-CO"/>
        </w:rPr>
      </w:pPr>
      <w:r w:rsidRPr="00F330E5">
        <w:rPr>
          <w:b/>
          <w:color w:val="auto"/>
          <w:lang w:val="es-CO" w:eastAsia="es-CO"/>
        </w:rPr>
        <w:t xml:space="preserve">Resolución 5261 de 1994. </w:t>
      </w:r>
      <w:r w:rsidRPr="00F330E5">
        <w:rPr>
          <w:color w:val="auto"/>
          <w:lang w:val="es-CO" w:eastAsia="es-CO"/>
        </w:rPr>
        <w:t xml:space="preserve">“Por la cual se establece el Manual de Actividades, Intervenciones y Procedimientos del Plan Obligatorio de Salud en el Sistema General de Seguridad Social en Salud”. </w:t>
      </w:r>
    </w:p>
    <w:p w14:paraId="7B1F1171" w14:textId="77777777" w:rsidR="00F330E5" w:rsidRPr="00F330E5" w:rsidRDefault="00F330E5" w:rsidP="00F330E5">
      <w:pPr>
        <w:jc w:val="both"/>
        <w:rPr>
          <w:color w:val="auto"/>
          <w:lang w:val="es-CO" w:eastAsia="es-CO"/>
        </w:rPr>
      </w:pPr>
    </w:p>
    <w:p w14:paraId="71ED095E" w14:textId="77777777" w:rsidR="00F330E5" w:rsidRPr="00F330E5" w:rsidRDefault="00F330E5" w:rsidP="00F330E5">
      <w:pPr>
        <w:pStyle w:val="Prrafodelista"/>
        <w:numPr>
          <w:ilvl w:val="0"/>
          <w:numId w:val="12"/>
        </w:numPr>
        <w:jc w:val="both"/>
        <w:rPr>
          <w:b/>
          <w:color w:val="auto"/>
        </w:rPr>
      </w:pPr>
      <w:r w:rsidRPr="00F330E5">
        <w:rPr>
          <w:b/>
          <w:color w:val="auto"/>
          <w:lang w:val="es-CO" w:eastAsia="es-CO"/>
        </w:rPr>
        <w:t xml:space="preserve">Resolución 4568 de 2014. </w:t>
      </w:r>
      <w:r w:rsidRPr="00F330E5">
        <w:rPr>
          <w:color w:val="auto"/>
          <w:lang w:val="es-CO" w:eastAsia="es-CO"/>
        </w:rPr>
        <w:t>“Por la cual se adopta el ‘Protocolo de atención de urgencias a víctimas de ataques con agentes químicos”.</w:t>
      </w:r>
    </w:p>
    <w:p w14:paraId="4AC5C9BF" w14:textId="77777777" w:rsidR="00770C9A" w:rsidRDefault="00770C9A" w:rsidP="00770C9A">
      <w:pPr>
        <w:jc w:val="both"/>
      </w:pPr>
    </w:p>
    <w:p w14:paraId="61357568" w14:textId="77777777" w:rsidR="00F330E5" w:rsidRPr="00F330E5" w:rsidRDefault="00F330E5" w:rsidP="00770C9A">
      <w:pPr>
        <w:jc w:val="both"/>
        <w:rPr>
          <w:b/>
          <w:bCs/>
          <w:lang w:val="es-CO"/>
        </w:rPr>
      </w:pPr>
    </w:p>
    <w:p w14:paraId="0D495290" w14:textId="77777777" w:rsidR="00770C9A" w:rsidRPr="00F330E5" w:rsidRDefault="00770C9A" w:rsidP="00770C9A">
      <w:pPr>
        <w:jc w:val="both"/>
        <w:rPr>
          <w:lang w:val="es-CO"/>
        </w:rPr>
      </w:pPr>
    </w:p>
    <w:p w14:paraId="3770DBD0" w14:textId="77777777" w:rsidR="00770C9A" w:rsidRDefault="00770C9A" w:rsidP="00770C9A">
      <w:pPr>
        <w:jc w:val="both"/>
        <w:rPr>
          <w:b/>
          <w:bCs/>
          <w:lang w:val="es-CO"/>
        </w:rPr>
      </w:pPr>
      <w:r w:rsidRPr="00F330E5">
        <w:rPr>
          <w:b/>
          <w:bCs/>
          <w:lang w:val="es-CO"/>
        </w:rPr>
        <w:lastRenderedPageBreak/>
        <w:t>Acuerdos Distritales</w:t>
      </w:r>
    </w:p>
    <w:p w14:paraId="428932B8" w14:textId="77777777" w:rsidR="00F330E5" w:rsidRPr="00F330E5" w:rsidRDefault="00F330E5" w:rsidP="00770C9A">
      <w:pPr>
        <w:jc w:val="both"/>
        <w:rPr>
          <w:b/>
          <w:bCs/>
          <w:lang w:val="es-CO"/>
        </w:rPr>
      </w:pPr>
    </w:p>
    <w:p w14:paraId="45524521" w14:textId="77777777" w:rsidR="00770C9A" w:rsidRPr="00F330E5" w:rsidRDefault="00770C9A" w:rsidP="00770C9A">
      <w:pPr>
        <w:jc w:val="both"/>
        <w:rPr>
          <w:b/>
          <w:bCs/>
          <w:lang w:val="es-CO"/>
        </w:rPr>
      </w:pPr>
    </w:p>
    <w:p w14:paraId="1BC729A1" w14:textId="77777777" w:rsidR="00F330E5" w:rsidRPr="00F330E5" w:rsidRDefault="00F330E5" w:rsidP="00F330E5">
      <w:pPr>
        <w:pStyle w:val="Prrafodelista"/>
        <w:numPr>
          <w:ilvl w:val="0"/>
          <w:numId w:val="11"/>
        </w:numPr>
        <w:jc w:val="both"/>
        <w:rPr>
          <w:b/>
          <w:bCs/>
          <w:color w:val="auto"/>
        </w:rPr>
      </w:pPr>
      <w:r w:rsidRPr="00F330E5">
        <w:rPr>
          <w:b/>
          <w:bCs/>
          <w:color w:val="auto"/>
        </w:rPr>
        <w:t xml:space="preserve">Acuerdo 692 de 2017. </w:t>
      </w:r>
      <w:r w:rsidRPr="00F330E5">
        <w:rPr>
          <w:bCs/>
          <w:color w:val="auto"/>
        </w:rPr>
        <w:t>“</w:t>
      </w:r>
      <w:r w:rsidRPr="00F330E5">
        <w:rPr>
          <w:bCs/>
          <w:iCs/>
          <w:color w:val="auto"/>
          <w:shd w:val="clear" w:color="auto" w:fill="FFFFFF"/>
        </w:rPr>
        <w:t xml:space="preserve">Por medio del cual se establecen medidas preventivas como herramienta pedagógica para prevenir las quemaduras en las niñas, niños y adolescentes del Distrito Capital”. </w:t>
      </w:r>
    </w:p>
    <w:p w14:paraId="4294BE0F" w14:textId="77777777" w:rsidR="00F330E5" w:rsidRDefault="00F330E5" w:rsidP="00F330E5">
      <w:pPr>
        <w:shd w:val="clear" w:color="auto" w:fill="FFFFFF"/>
        <w:spacing w:after="160" w:line="235" w:lineRule="atLeast"/>
        <w:jc w:val="both"/>
        <w:rPr>
          <w:b/>
          <w:bCs/>
          <w:color w:val="333333"/>
        </w:rPr>
      </w:pPr>
    </w:p>
    <w:p w14:paraId="5F4C249B" w14:textId="77777777" w:rsidR="00F330E5" w:rsidRPr="00935C48" w:rsidRDefault="00F330E5" w:rsidP="00F330E5">
      <w:pPr>
        <w:shd w:val="clear" w:color="auto" w:fill="FFFFFF"/>
        <w:spacing w:after="160" w:line="235" w:lineRule="atLeast"/>
        <w:ind w:left="708"/>
        <w:jc w:val="both"/>
        <w:rPr>
          <w:rFonts w:ascii="Calibri" w:hAnsi="Calibri" w:cs="Calibri"/>
          <w:i/>
          <w:color w:val="auto"/>
          <w:sz w:val="22"/>
          <w:szCs w:val="22"/>
        </w:rPr>
      </w:pPr>
      <w:r w:rsidRPr="00935C48">
        <w:rPr>
          <w:b/>
          <w:bCs/>
          <w:i/>
          <w:color w:val="auto"/>
          <w:sz w:val="22"/>
          <w:szCs w:val="22"/>
        </w:rPr>
        <w:t>“Artículo 1. OBJETO:</w:t>
      </w:r>
      <w:r w:rsidRPr="00935C48">
        <w:rPr>
          <w:i/>
          <w:color w:val="auto"/>
          <w:sz w:val="22"/>
          <w:szCs w:val="22"/>
        </w:rPr>
        <w:t> La Administración Distrital establecerá medidas preventivas y determinará los lineamientos que sirvan como herramienta pedagógica a la Comunidad, para disminuir las quemaduras en las niñas, niños y adolescentes del Distrito Capital.</w:t>
      </w:r>
    </w:p>
    <w:p w14:paraId="07254260" w14:textId="77777777" w:rsidR="00F330E5" w:rsidRPr="00935C48" w:rsidRDefault="00F330E5" w:rsidP="00F330E5">
      <w:pPr>
        <w:shd w:val="clear" w:color="auto" w:fill="FFFFFF"/>
        <w:spacing w:after="160" w:line="235" w:lineRule="atLeast"/>
        <w:ind w:left="708"/>
        <w:jc w:val="both"/>
        <w:rPr>
          <w:rFonts w:ascii="Calibri" w:hAnsi="Calibri" w:cs="Calibri"/>
          <w:i/>
          <w:color w:val="auto"/>
          <w:sz w:val="22"/>
          <w:szCs w:val="22"/>
        </w:rPr>
      </w:pPr>
      <w:r w:rsidRPr="00935C48">
        <w:rPr>
          <w:b/>
          <w:bCs/>
          <w:i/>
          <w:color w:val="auto"/>
          <w:sz w:val="22"/>
          <w:szCs w:val="22"/>
        </w:rPr>
        <w:t>Artículo 2. IMPLEMENTACIÓN: </w:t>
      </w:r>
      <w:r w:rsidRPr="00935C48">
        <w:rPr>
          <w:i/>
          <w:color w:val="auto"/>
          <w:sz w:val="22"/>
          <w:szCs w:val="22"/>
        </w:rPr>
        <w:t>La Secretaría de Educación del Distrito en coordinación con las Secretarías Distritales de Salud e Integración Social serán las encargadas de implementar las medidas preventivas conforme a los lineamientos de la Secretaría Distrital de Salud a los que se refiere el artículo primero de este Acuerdo. Dichas medidas estarán encaminadas a concienciar y sensibilizar a los padres, madres, cuidadoras, cuidadores y a las niñas, niños y adolescentes, de las causas y riesgos de las quemaduras.</w:t>
      </w:r>
    </w:p>
    <w:p w14:paraId="3B701E37" w14:textId="77777777" w:rsidR="00F330E5" w:rsidRPr="00935C48" w:rsidRDefault="00F330E5" w:rsidP="00F330E5">
      <w:pPr>
        <w:shd w:val="clear" w:color="auto" w:fill="FFFFFF"/>
        <w:spacing w:after="160" w:line="235" w:lineRule="atLeast"/>
        <w:ind w:left="708"/>
        <w:jc w:val="both"/>
        <w:rPr>
          <w:rFonts w:ascii="Calibri" w:hAnsi="Calibri" w:cs="Calibri"/>
          <w:i/>
          <w:color w:val="auto"/>
          <w:sz w:val="22"/>
          <w:szCs w:val="22"/>
        </w:rPr>
      </w:pPr>
      <w:r w:rsidRPr="00935C48">
        <w:rPr>
          <w:b/>
          <w:bCs/>
          <w:i/>
          <w:color w:val="auto"/>
          <w:sz w:val="22"/>
          <w:szCs w:val="22"/>
        </w:rPr>
        <w:t>PARÁGRAFO.</w:t>
      </w:r>
      <w:r w:rsidRPr="00935C48">
        <w:rPr>
          <w:i/>
          <w:color w:val="auto"/>
          <w:sz w:val="22"/>
          <w:szCs w:val="22"/>
        </w:rPr>
        <w:t> A través del Comité Distrital de Convivencia Escolar, las mencionadas Secretarías fortalecerán la implementación de las orientaciones para que los establecimientos educativos adelanten las medidas preventivas de las que trata el presente artículo. Además, se aprobará un protocolo de atención para los casos en que se presenten niñas, niños y adolescentes quemados en los establecimientos educativos.</w:t>
      </w:r>
    </w:p>
    <w:p w14:paraId="5743E671" w14:textId="77777777" w:rsidR="00F330E5" w:rsidRPr="00935C48" w:rsidRDefault="00F330E5" w:rsidP="00F330E5">
      <w:pPr>
        <w:shd w:val="clear" w:color="auto" w:fill="FFFFFF"/>
        <w:spacing w:after="160" w:line="235" w:lineRule="atLeast"/>
        <w:ind w:left="708"/>
        <w:jc w:val="both"/>
        <w:rPr>
          <w:rFonts w:ascii="Calibri" w:hAnsi="Calibri" w:cs="Calibri"/>
          <w:i/>
          <w:color w:val="auto"/>
          <w:sz w:val="22"/>
          <w:szCs w:val="22"/>
        </w:rPr>
      </w:pPr>
      <w:r w:rsidRPr="00935C48">
        <w:rPr>
          <w:b/>
          <w:bCs/>
          <w:i/>
          <w:color w:val="auto"/>
          <w:sz w:val="22"/>
          <w:szCs w:val="22"/>
        </w:rPr>
        <w:t>Artículo 3. INFORMACIÓN ACTUALIZADA: </w:t>
      </w:r>
      <w:r w:rsidRPr="00935C48">
        <w:rPr>
          <w:i/>
          <w:color w:val="auto"/>
          <w:sz w:val="22"/>
          <w:szCs w:val="22"/>
        </w:rPr>
        <w:t>La Secretaría Distrital de Salud, con el apoyo de Medicina legal, la Policía Metropolitana de Bogotá y las Secretarías de Educación e Integración Social, mantendrá actualizada una base de datos detallada, con la información de las niñas, niños y adolescentes quemados de la Ciudad.</w:t>
      </w:r>
    </w:p>
    <w:p w14:paraId="62EC5B4F" w14:textId="77777777" w:rsidR="00F330E5" w:rsidRPr="00935C48" w:rsidRDefault="00F330E5" w:rsidP="00F330E5">
      <w:pPr>
        <w:shd w:val="clear" w:color="auto" w:fill="FFFFFF"/>
        <w:spacing w:after="160" w:line="235" w:lineRule="atLeast"/>
        <w:ind w:left="708"/>
        <w:jc w:val="both"/>
        <w:rPr>
          <w:rFonts w:ascii="Calibri" w:hAnsi="Calibri" w:cs="Calibri"/>
          <w:color w:val="333333"/>
          <w:sz w:val="22"/>
          <w:szCs w:val="22"/>
        </w:rPr>
      </w:pPr>
      <w:r w:rsidRPr="00935C48">
        <w:rPr>
          <w:b/>
          <w:bCs/>
          <w:i/>
          <w:color w:val="auto"/>
          <w:sz w:val="22"/>
          <w:szCs w:val="22"/>
        </w:rPr>
        <w:t>Artículo 4. INFORMES: </w:t>
      </w:r>
      <w:r w:rsidRPr="00935C48">
        <w:rPr>
          <w:i/>
          <w:color w:val="auto"/>
          <w:sz w:val="22"/>
          <w:szCs w:val="22"/>
        </w:rPr>
        <w:t>Las Secretarías Distritales de Salud, Educación e Integración Social presentarán anualmente un informe al Concejo de Bogotá, sobre la situación de las niñas, niños y adolescentes quemados en la ciudad. (…)”</w:t>
      </w:r>
    </w:p>
    <w:p w14:paraId="2077D2DF" w14:textId="77777777" w:rsidR="00F330E5" w:rsidRPr="00B3589C" w:rsidRDefault="00F330E5" w:rsidP="00F330E5">
      <w:pPr>
        <w:shd w:val="clear" w:color="auto" w:fill="FFFFFF"/>
        <w:spacing w:before="240"/>
        <w:jc w:val="both"/>
        <w:rPr>
          <w:b/>
          <w:color w:val="auto"/>
          <w:highlight w:val="white"/>
        </w:rPr>
      </w:pPr>
    </w:p>
    <w:p w14:paraId="2FE18171" w14:textId="77777777" w:rsidR="00F330E5" w:rsidRPr="00F330E5" w:rsidRDefault="00F330E5" w:rsidP="00F330E5">
      <w:pPr>
        <w:pStyle w:val="Prrafodelista"/>
        <w:numPr>
          <w:ilvl w:val="0"/>
          <w:numId w:val="11"/>
        </w:numPr>
        <w:jc w:val="both"/>
        <w:rPr>
          <w:b/>
          <w:bCs/>
          <w:color w:val="auto"/>
        </w:rPr>
      </w:pPr>
      <w:r w:rsidRPr="00F330E5">
        <w:rPr>
          <w:b/>
          <w:bCs/>
          <w:color w:val="auto"/>
        </w:rPr>
        <w:t xml:space="preserve">Acuerdo 761 de 2020. </w:t>
      </w:r>
      <w:r w:rsidRPr="00F330E5">
        <w:rPr>
          <w:bCs/>
          <w:color w:val="auto"/>
        </w:rPr>
        <w:t>“</w:t>
      </w:r>
      <w:r w:rsidRPr="00F330E5">
        <w:rPr>
          <w:bCs/>
          <w:iCs/>
          <w:color w:val="auto"/>
          <w:shd w:val="clear" w:color="auto" w:fill="FFFFFF"/>
        </w:rPr>
        <w:t>Por medio del cual se adopta el Plan de desarrollo económico, social, ambiental y de obras públicas del Distrito Capital 2020-2024 “Un nuevo contrato social y ambiental para la Bogotá del siglo XXI”</w:t>
      </w:r>
    </w:p>
    <w:p w14:paraId="792F8A03" w14:textId="77777777" w:rsidR="00F330E5" w:rsidRPr="00935C48" w:rsidRDefault="00F330E5" w:rsidP="00F330E5">
      <w:pPr>
        <w:pStyle w:val="Prrafodelista"/>
        <w:rPr>
          <w:b/>
          <w:bCs/>
          <w:i/>
          <w:color w:val="auto"/>
          <w:sz w:val="22"/>
          <w:szCs w:val="22"/>
        </w:rPr>
      </w:pPr>
    </w:p>
    <w:p w14:paraId="2FCE9D9C" w14:textId="77777777" w:rsidR="00F330E5" w:rsidRPr="00935C48" w:rsidRDefault="00F330E5" w:rsidP="00F330E5">
      <w:pPr>
        <w:shd w:val="clear" w:color="auto" w:fill="FFFFFF"/>
        <w:ind w:left="709"/>
        <w:jc w:val="both"/>
        <w:rPr>
          <w:i/>
          <w:color w:val="auto"/>
          <w:sz w:val="22"/>
          <w:szCs w:val="22"/>
          <w:shd w:val="clear" w:color="auto" w:fill="FFFFFF"/>
          <w:lang w:val="es-ES_tradnl"/>
        </w:rPr>
      </w:pPr>
      <w:r w:rsidRPr="00935C48">
        <w:rPr>
          <w:b/>
          <w:bCs/>
          <w:i/>
          <w:color w:val="auto"/>
          <w:sz w:val="22"/>
          <w:szCs w:val="22"/>
          <w:shd w:val="clear" w:color="auto" w:fill="FFFFFF"/>
          <w:lang w:val="es-ES_tradnl"/>
        </w:rPr>
        <w:t>“(…) Artículo15. Definición de Programas. </w:t>
      </w:r>
      <w:r w:rsidRPr="00935C48">
        <w:rPr>
          <w:i/>
          <w:color w:val="auto"/>
          <w:sz w:val="22"/>
          <w:szCs w:val="22"/>
          <w:shd w:val="clear" w:color="auto" w:fill="FFFFFF"/>
          <w:lang w:val="es-ES_tradnl"/>
        </w:rPr>
        <w:t>Los Programas del Plan Distrital de Desarrollo se definen a continuación, agrupados según el propósito:</w:t>
      </w:r>
    </w:p>
    <w:p w14:paraId="248141B7" w14:textId="77777777" w:rsidR="00F330E5" w:rsidRPr="00935C48" w:rsidRDefault="00F330E5" w:rsidP="00F330E5">
      <w:pPr>
        <w:shd w:val="clear" w:color="auto" w:fill="FFFFFF"/>
        <w:ind w:left="709"/>
        <w:jc w:val="both"/>
        <w:rPr>
          <w:b/>
          <w:bCs/>
          <w:i/>
          <w:color w:val="auto"/>
          <w:sz w:val="22"/>
          <w:szCs w:val="22"/>
          <w:lang w:val="es-ES_tradnl"/>
        </w:rPr>
      </w:pPr>
    </w:p>
    <w:p w14:paraId="0DC2CD5E" w14:textId="77777777" w:rsidR="00F330E5" w:rsidRPr="00935C48" w:rsidRDefault="00F330E5" w:rsidP="00F330E5">
      <w:pPr>
        <w:shd w:val="clear" w:color="auto" w:fill="FFFFFF"/>
        <w:ind w:left="709"/>
        <w:jc w:val="both"/>
        <w:rPr>
          <w:b/>
          <w:bCs/>
          <w:i/>
          <w:color w:val="auto"/>
          <w:sz w:val="22"/>
          <w:szCs w:val="22"/>
          <w:lang w:val="es-ES_tradnl"/>
        </w:rPr>
      </w:pPr>
      <w:r w:rsidRPr="00935C48">
        <w:rPr>
          <w:b/>
          <w:bCs/>
          <w:i/>
          <w:color w:val="auto"/>
          <w:sz w:val="22"/>
          <w:szCs w:val="22"/>
          <w:shd w:val="clear" w:color="auto" w:fill="FFFFFF"/>
          <w:lang w:val="es-ES_tradnl"/>
        </w:rPr>
        <w:t>Programa 9. Prevención y cambios para mejorar la salud de la población. </w:t>
      </w:r>
      <w:r w:rsidRPr="00935C48">
        <w:rPr>
          <w:i/>
          <w:color w:val="auto"/>
          <w:sz w:val="22"/>
          <w:szCs w:val="22"/>
          <w:shd w:val="clear" w:color="auto" w:fill="FFFFFF"/>
          <w:lang w:val="es-ES_tradnl"/>
        </w:rPr>
        <w:t>Promover modos, hábitos y estilos de vida que potencien los determinantes protectores y atenúen los determinantes destructores del proceso salud-enfermedad. Se busca detectar oportunamente la enfermedad o fortalecer el proceso de recuperación o rehabilitación del paciente; disminuir la morbilidad por enfermedades transmisibles en control (Tosferina, Varicela, Hepatitis A, parotiditis y meningitis) y controlar la pandemia de Coronavirus COVID-19. Ello contribuirá a la inclusión social y desarrollo integral de familias, comunidades y población en general, al igual que al mejoramiento de espacios personales y entornos territoriales.</w:t>
      </w:r>
    </w:p>
    <w:p w14:paraId="054D585B" w14:textId="77777777" w:rsidR="00F330E5" w:rsidRPr="00935C48" w:rsidRDefault="00F330E5" w:rsidP="00F330E5">
      <w:pPr>
        <w:shd w:val="clear" w:color="auto" w:fill="FFFFFF"/>
        <w:ind w:left="709"/>
        <w:jc w:val="both"/>
        <w:rPr>
          <w:b/>
          <w:bCs/>
          <w:i/>
          <w:color w:val="auto"/>
          <w:sz w:val="22"/>
          <w:szCs w:val="22"/>
          <w:lang w:val="es-ES_tradnl"/>
        </w:rPr>
      </w:pPr>
    </w:p>
    <w:p w14:paraId="0343604C" w14:textId="77777777" w:rsidR="00F330E5" w:rsidRPr="00935C48" w:rsidRDefault="00F330E5" w:rsidP="00F330E5">
      <w:pPr>
        <w:shd w:val="clear" w:color="auto" w:fill="FFFFFF"/>
        <w:ind w:left="709"/>
        <w:jc w:val="both"/>
        <w:rPr>
          <w:b/>
          <w:bCs/>
          <w:i/>
          <w:color w:val="auto"/>
          <w:sz w:val="22"/>
          <w:szCs w:val="22"/>
          <w:lang w:val="es-ES_tradnl"/>
        </w:rPr>
      </w:pPr>
      <w:r w:rsidRPr="00935C48">
        <w:rPr>
          <w:b/>
          <w:bCs/>
          <w:i/>
          <w:color w:val="auto"/>
          <w:sz w:val="22"/>
          <w:szCs w:val="22"/>
          <w:lang w:val="es-ES_tradnl"/>
        </w:rPr>
        <w:t>(…)</w:t>
      </w:r>
    </w:p>
    <w:p w14:paraId="4AD1F0CA" w14:textId="77777777" w:rsidR="00F330E5" w:rsidRPr="00935C48" w:rsidRDefault="00F330E5" w:rsidP="00F330E5">
      <w:pPr>
        <w:shd w:val="clear" w:color="auto" w:fill="FFFFFF"/>
        <w:ind w:left="709"/>
        <w:jc w:val="both"/>
        <w:rPr>
          <w:b/>
          <w:bCs/>
          <w:i/>
          <w:color w:val="auto"/>
          <w:sz w:val="22"/>
          <w:szCs w:val="22"/>
          <w:lang w:val="es-ES_tradnl"/>
        </w:rPr>
      </w:pPr>
    </w:p>
    <w:p w14:paraId="730F6387" w14:textId="77777777" w:rsidR="00F330E5" w:rsidRPr="00935C48" w:rsidRDefault="00F330E5" w:rsidP="00F330E5">
      <w:pPr>
        <w:shd w:val="clear" w:color="auto" w:fill="FFFFFF"/>
        <w:ind w:left="709"/>
        <w:jc w:val="both"/>
        <w:rPr>
          <w:i/>
          <w:color w:val="auto"/>
          <w:sz w:val="22"/>
          <w:szCs w:val="22"/>
        </w:rPr>
      </w:pPr>
      <w:r w:rsidRPr="00935C48">
        <w:rPr>
          <w:b/>
          <w:bCs/>
          <w:i/>
          <w:color w:val="auto"/>
          <w:sz w:val="22"/>
          <w:szCs w:val="22"/>
          <w:lang w:val="es-ES_tradnl"/>
        </w:rPr>
        <w:t>Artículo</w:t>
      </w:r>
      <w:r w:rsidRPr="00935C48">
        <w:rPr>
          <w:i/>
          <w:color w:val="auto"/>
          <w:sz w:val="22"/>
          <w:szCs w:val="22"/>
        </w:rPr>
        <w:t> </w:t>
      </w:r>
      <w:r w:rsidRPr="00935C48">
        <w:rPr>
          <w:b/>
          <w:bCs/>
          <w:i/>
          <w:color w:val="auto"/>
          <w:sz w:val="22"/>
          <w:szCs w:val="22"/>
          <w:lang w:val="es-ES_tradnl"/>
        </w:rPr>
        <w:t>102. Funciones esenciales del Instituto Distrital de Ciencia, Biotecnología e Innovación en Salud</w:t>
      </w:r>
      <w:r w:rsidRPr="00935C48">
        <w:rPr>
          <w:i/>
          <w:color w:val="auto"/>
          <w:sz w:val="22"/>
          <w:szCs w:val="22"/>
          <w:lang w:val="es-ES_tradnl"/>
        </w:rPr>
        <w:t>. Modifíquese el artículo </w:t>
      </w:r>
      <w:hyperlink r:id="rId24" w:anchor="18" w:history="1">
        <w:r w:rsidRPr="00935C48">
          <w:rPr>
            <w:rStyle w:val="Hipervnculo"/>
            <w:rFonts w:cs="Arial"/>
            <w:i/>
            <w:color w:val="auto"/>
            <w:sz w:val="22"/>
            <w:szCs w:val="22"/>
            <w:lang w:val="es-ES_tradnl"/>
          </w:rPr>
          <w:t>18</w:t>
        </w:r>
      </w:hyperlink>
      <w:r w:rsidRPr="00935C48">
        <w:rPr>
          <w:i/>
          <w:color w:val="auto"/>
          <w:sz w:val="22"/>
          <w:szCs w:val="22"/>
          <w:lang w:val="es-ES_tradnl"/>
        </w:rPr>
        <w:t> del Acuerdo 641 de 2016 el cual quedará así:</w:t>
      </w:r>
    </w:p>
    <w:p w14:paraId="306A2356" w14:textId="77777777" w:rsidR="00F330E5" w:rsidRPr="00935C48" w:rsidRDefault="00F330E5" w:rsidP="00F330E5">
      <w:pPr>
        <w:shd w:val="clear" w:color="auto" w:fill="FFFFFF"/>
        <w:ind w:left="709"/>
        <w:jc w:val="both"/>
        <w:rPr>
          <w:i/>
          <w:color w:val="auto"/>
          <w:sz w:val="22"/>
          <w:szCs w:val="22"/>
        </w:rPr>
      </w:pPr>
      <w:r w:rsidRPr="00935C48">
        <w:rPr>
          <w:i/>
          <w:color w:val="auto"/>
          <w:sz w:val="22"/>
          <w:szCs w:val="22"/>
          <w:lang w:val="es-ES_tradnl"/>
        </w:rPr>
        <w:t> </w:t>
      </w:r>
    </w:p>
    <w:p w14:paraId="72DA664B" w14:textId="77777777" w:rsidR="00F330E5" w:rsidRPr="00935C48" w:rsidRDefault="00F330E5" w:rsidP="00F330E5">
      <w:pPr>
        <w:shd w:val="clear" w:color="auto" w:fill="FFFFFF"/>
        <w:ind w:left="709"/>
        <w:jc w:val="both"/>
        <w:rPr>
          <w:i/>
          <w:iCs/>
          <w:color w:val="auto"/>
          <w:sz w:val="22"/>
          <w:szCs w:val="22"/>
          <w:lang w:val="es-ES_tradnl"/>
        </w:rPr>
      </w:pPr>
      <w:r w:rsidRPr="00935C48">
        <w:rPr>
          <w:i/>
          <w:iCs/>
          <w:color w:val="auto"/>
          <w:sz w:val="22"/>
          <w:szCs w:val="22"/>
          <w:lang w:val="es-ES_tradnl"/>
        </w:rPr>
        <w:t>“Artículo 18. El Instituto Distrital de Ciencia, Biotecnología e Innovación en Salud –IDCBIS- desarrollará las siguientes actividades principales:</w:t>
      </w:r>
    </w:p>
    <w:p w14:paraId="3F933319" w14:textId="77777777" w:rsidR="00F330E5" w:rsidRPr="00935C48" w:rsidRDefault="00F330E5" w:rsidP="00F330E5">
      <w:pPr>
        <w:shd w:val="clear" w:color="auto" w:fill="FFFFFF"/>
        <w:ind w:left="709"/>
        <w:jc w:val="both"/>
        <w:rPr>
          <w:i/>
          <w:color w:val="auto"/>
          <w:sz w:val="22"/>
          <w:szCs w:val="22"/>
        </w:rPr>
      </w:pPr>
    </w:p>
    <w:p w14:paraId="0D1C16A2" w14:textId="77777777" w:rsidR="00F330E5" w:rsidRPr="00935C48" w:rsidRDefault="00F330E5" w:rsidP="00F330E5">
      <w:pPr>
        <w:shd w:val="clear" w:color="auto" w:fill="FFFFFF"/>
        <w:ind w:left="709"/>
        <w:jc w:val="both"/>
        <w:rPr>
          <w:i/>
          <w:color w:val="auto"/>
          <w:sz w:val="22"/>
          <w:szCs w:val="22"/>
        </w:rPr>
      </w:pPr>
      <w:r w:rsidRPr="00935C48">
        <w:rPr>
          <w:i/>
          <w:iCs/>
          <w:color w:val="auto"/>
          <w:sz w:val="22"/>
          <w:szCs w:val="22"/>
          <w:lang w:val="es-ES_tradnl"/>
        </w:rPr>
        <w:t>a). Fortalecer y fomentar una cultura ciudadana para la donación de sangre, componentes sanguíneos, órganos y tejidos humanos y células con propósitos de trasplante, medicina regenerativa o investigación. b). Obtener, procesar, almacenar y distribuir componentes sanguíneos, tejidos y células humanas con propósitos de trasplante, medicina regenerativa o investigación. c). Ofrecer servicios altamente especializados y de referencia, en banco de sangre, banco de tejidos humanos, banco de sangre de cordón umbilical, terapias avanzadas, medicina transfusional, medicina regenerativa y laboratorio de inmunología de transfusión y trasplantes. d). Formar, capacitar y entrenar talento humano en las áreas de conocimiento desarrolladas por la entidad, con énfasis en investigación. e). Gestionar líneas de investigación e innovación tecnológica en diversos campos de las ciencias de la salud humana, con énfasis en medicina transfusional, ingeniería tisular, terapias avanzadas y medicina regenerativa, en coordinación con centros académicos y de investigación nacionales e internacionales. f). Servir como entidad asesora, consultora y de referencia, para entidades nacionales e internacionales en los aspectos relacionados con el desarrollo de su objeto social. g). Desarrollar y gestionar un Registro de Donantes de Progenitores Hematopoyéticos, con propósitos de investigación y trasplante. h). Desarrollar actividades encaminadas a la apropiación social del conocimiento en el área de la salud, así como la difusión de la ciencia. i). Las demás actividades que señalen los estatutos y que sean conexas con su objeto social. (…)”</w:t>
      </w:r>
    </w:p>
    <w:p w14:paraId="099D0272" w14:textId="77777777" w:rsidR="00F330E5" w:rsidRPr="006C7730" w:rsidRDefault="00F330E5" w:rsidP="00F330E5">
      <w:pPr>
        <w:pStyle w:val="Prrafodelista"/>
        <w:ind w:left="720"/>
        <w:jc w:val="both"/>
        <w:rPr>
          <w:b/>
          <w:bCs/>
          <w:color w:val="FF0000"/>
          <w:sz w:val="22"/>
          <w:szCs w:val="22"/>
        </w:rPr>
      </w:pPr>
    </w:p>
    <w:p w14:paraId="67738EBA" w14:textId="77777777" w:rsidR="00F330E5" w:rsidRPr="006C7730" w:rsidRDefault="00F330E5" w:rsidP="00F330E5">
      <w:pPr>
        <w:pStyle w:val="Prrafodelista"/>
        <w:ind w:left="0"/>
        <w:jc w:val="both"/>
        <w:rPr>
          <w:b/>
          <w:bCs/>
          <w:color w:val="FF0000"/>
          <w:sz w:val="22"/>
          <w:szCs w:val="22"/>
        </w:rPr>
      </w:pPr>
    </w:p>
    <w:p w14:paraId="57376211" w14:textId="77777777" w:rsidR="00F330E5" w:rsidRPr="00F330E5" w:rsidRDefault="00F330E5" w:rsidP="00F330E5">
      <w:pPr>
        <w:pStyle w:val="Prrafodelista"/>
        <w:numPr>
          <w:ilvl w:val="0"/>
          <w:numId w:val="11"/>
        </w:numPr>
        <w:jc w:val="both"/>
        <w:rPr>
          <w:b/>
          <w:bCs/>
          <w:i/>
          <w:iCs/>
          <w:color w:val="auto"/>
          <w:shd w:val="clear" w:color="auto" w:fill="FFFFFF"/>
        </w:rPr>
      </w:pPr>
      <w:r w:rsidRPr="00F330E5">
        <w:rPr>
          <w:b/>
          <w:bCs/>
          <w:color w:val="auto"/>
        </w:rPr>
        <w:lastRenderedPageBreak/>
        <w:t xml:space="preserve">Decreto 751 de 2001 </w:t>
      </w:r>
      <w:r w:rsidRPr="00F330E5">
        <w:rPr>
          <w:bCs/>
          <w:iCs/>
          <w:color w:val="auto"/>
          <w:shd w:val="clear" w:color="auto" w:fill="FFFFFF"/>
        </w:rPr>
        <w:t>“Por el cual se adoptan medidas de control sobre la fabricación, almacenamiento, transporte, venta y manipulación de fuegos artificiales o artículos pirotécnicos en el Distrito Capital de Bogotá”.</w:t>
      </w:r>
      <w:r w:rsidRPr="00F330E5">
        <w:rPr>
          <w:b/>
          <w:bCs/>
          <w:i/>
          <w:iCs/>
          <w:color w:val="auto"/>
          <w:shd w:val="clear" w:color="auto" w:fill="FFFFFF"/>
        </w:rPr>
        <w:t xml:space="preserve"> </w:t>
      </w:r>
    </w:p>
    <w:p w14:paraId="02BA009E" w14:textId="77777777" w:rsidR="00F330E5" w:rsidRDefault="00F330E5" w:rsidP="00F330E5">
      <w:pPr>
        <w:jc w:val="both"/>
        <w:rPr>
          <w:i/>
          <w:color w:val="FF0000"/>
        </w:rPr>
      </w:pPr>
    </w:p>
    <w:p w14:paraId="34B66A17" w14:textId="77777777" w:rsidR="00F330E5" w:rsidRPr="00935C48" w:rsidRDefault="00F330E5" w:rsidP="00F330E5">
      <w:pPr>
        <w:spacing w:after="150"/>
        <w:ind w:left="708"/>
        <w:jc w:val="both"/>
        <w:rPr>
          <w:i/>
          <w:color w:val="auto"/>
          <w:sz w:val="22"/>
          <w:szCs w:val="22"/>
          <w:shd w:val="clear" w:color="auto" w:fill="FFFFFF"/>
        </w:rPr>
      </w:pPr>
      <w:r w:rsidRPr="00935C48">
        <w:rPr>
          <w:i/>
          <w:color w:val="auto"/>
          <w:sz w:val="22"/>
          <w:szCs w:val="22"/>
          <w:shd w:val="clear" w:color="auto" w:fill="FFFFFF"/>
        </w:rPr>
        <w:t xml:space="preserve">(…) </w:t>
      </w:r>
      <w:r w:rsidRPr="00935C48">
        <w:rPr>
          <w:b/>
          <w:bCs/>
          <w:i/>
          <w:color w:val="auto"/>
          <w:sz w:val="22"/>
          <w:szCs w:val="22"/>
          <w:shd w:val="clear" w:color="auto" w:fill="FFFFFF"/>
        </w:rPr>
        <w:t>ARTÍCULO 13.-</w:t>
      </w:r>
      <w:r w:rsidRPr="00935C48">
        <w:rPr>
          <w:i/>
          <w:color w:val="auto"/>
          <w:sz w:val="22"/>
          <w:szCs w:val="22"/>
          <w:shd w:val="clear" w:color="auto" w:fill="FFFFFF"/>
        </w:rPr>
        <w:t> La Secretaría Distrital de Salud, deberá incluir en sus planes de promoción de la salud, la divulgación del presente Decreto y adelantar las campañas de prevención, frente al riesgo generado por el uso de productos pirotécnicos.</w:t>
      </w:r>
    </w:p>
    <w:p w14:paraId="5510D324" w14:textId="77777777" w:rsidR="00F330E5" w:rsidRPr="00935C48" w:rsidRDefault="00F330E5" w:rsidP="00F330E5">
      <w:pPr>
        <w:spacing w:after="150"/>
        <w:ind w:left="708"/>
        <w:jc w:val="both"/>
        <w:rPr>
          <w:i/>
          <w:color w:val="auto"/>
          <w:sz w:val="22"/>
          <w:szCs w:val="22"/>
          <w:shd w:val="clear" w:color="auto" w:fill="FFFFFF"/>
        </w:rPr>
      </w:pPr>
      <w:r w:rsidRPr="00935C48">
        <w:rPr>
          <w:i/>
          <w:color w:val="auto"/>
          <w:sz w:val="22"/>
          <w:szCs w:val="22"/>
          <w:shd w:val="clear" w:color="auto" w:fill="FFFFFF"/>
        </w:rPr>
        <w:t>Así mismo, con el apoyo de la Red Distrital de Urgencias y demás organismos del Sistema General de Seguridad Social en Salud del Nivel Distrital, se establecerá un plan de contingencias de atención inmediata al quemado, como parte de la Red Nacional de Urgencias.</w:t>
      </w:r>
    </w:p>
    <w:p w14:paraId="0180F44F" w14:textId="77777777" w:rsidR="00F330E5" w:rsidRPr="00935C48" w:rsidRDefault="00F330E5" w:rsidP="00F330E5">
      <w:pPr>
        <w:spacing w:after="150"/>
        <w:ind w:left="708"/>
        <w:jc w:val="both"/>
        <w:rPr>
          <w:i/>
          <w:color w:val="auto"/>
          <w:sz w:val="22"/>
          <w:szCs w:val="22"/>
          <w:shd w:val="clear" w:color="auto" w:fill="FFFFFF"/>
        </w:rPr>
      </w:pPr>
      <w:r w:rsidRPr="00935C48">
        <w:rPr>
          <w:b/>
          <w:bCs/>
          <w:i/>
          <w:color w:val="auto"/>
          <w:sz w:val="22"/>
          <w:szCs w:val="22"/>
          <w:shd w:val="clear" w:color="auto" w:fill="FFFFFF"/>
        </w:rPr>
        <w:t>ARTÍCULO 14.-</w:t>
      </w:r>
      <w:r w:rsidRPr="00935C48">
        <w:rPr>
          <w:i/>
          <w:color w:val="auto"/>
          <w:sz w:val="22"/>
          <w:szCs w:val="22"/>
          <w:shd w:val="clear" w:color="auto" w:fill="FFFFFF"/>
        </w:rPr>
        <w:t> El Plan Distrital de Contingencia de Atención Inmediata al quemado, deberá contar como mínimo con los siguientes componentes:</w:t>
      </w:r>
    </w:p>
    <w:p w14:paraId="4B292136" w14:textId="77777777" w:rsidR="00F330E5" w:rsidRPr="00935C48" w:rsidRDefault="00F330E5" w:rsidP="00F330E5">
      <w:pPr>
        <w:spacing w:after="150"/>
        <w:ind w:left="708"/>
        <w:jc w:val="both"/>
        <w:rPr>
          <w:i/>
          <w:color w:val="auto"/>
          <w:sz w:val="22"/>
          <w:szCs w:val="22"/>
          <w:shd w:val="clear" w:color="auto" w:fill="FFFFFF"/>
        </w:rPr>
      </w:pPr>
      <w:r w:rsidRPr="00935C48">
        <w:rPr>
          <w:i/>
          <w:color w:val="auto"/>
          <w:sz w:val="22"/>
          <w:szCs w:val="22"/>
          <w:shd w:val="clear" w:color="auto" w:fill="FFFFFF"/>
        </w:rPr>
        <w:t>a) Centros específicos de referencia para pacientes, de acuerdo con el grado de complejidad de la atención requerida.</w:t>
      </w:r>
    </w:p>
    <w:p w14:paraId="03EBFC66" w14:textId="77777777" w:rsidR="00F330E5" w:rsidRPr="00935C48" w:rsidRDefault="00F330E5" w:rsidP="00F330E5">
      <w:pPr>
        <w:spacing w:after="150"/>
        <w:ind w:left="708"/>
        <w:jc w:val="both"/>
        <w:rPr>
          <w:i/>
          <w:color w:val="auto"/>
          <w:sz w:val="22"/>
          <w:szCs w:val="22"/>
          <w:shd w:val="clear" w:color="auto" w:fill="FFFFFF"/>
        </w:rPr>
      </w:pPr>
      <w:r w:rsidRPr="00935C48">
        <w:rPr>
          <w:i/>
          <w:color w:val="auto"/>
          <w:sz w:val="22"/>
          <w:szCs w:val="22"/>
          <w:shd w:val="clear" w:color="auto" w:fill="FFFFFF"/>
        </w:rPr>
        <w:t>b) Registro y notificación obligatoria de pacientes afectados por quemaduras por pólvora a la Secretaría de Salud Distrital.</w:t>
      </w:r>
    </w:p>
    <w:p w14:paraId="0F3E8397" w14:textId="77777777" w:rsidR="00F330E5" w:rsidRPr="00935C48" w:rsidRDefault="00F330E5" w:rsidP="00F330E5">
      <w:pPr>
        <w:spacing w:after="150"/>
        <w:ind w:left="708"/>
        <w:jc w:val="both"/>
        <w:rPr>
          <w:i/>
          <w:color w:val="auto"/>
          <w:sz w:val="22"/>
          <w:szCs w:val="22"/>
          <w:shd w:val="clear" w:color="auto" w:fill="FFFFFF"/>
        </w:rPr>
      </w:pPr>
      <w:r w:rsidRPr="00935C48">
        <w:rPr>
          <w:i/>
          <w:color w:val="auto"/>
          <w:sz w:val="22"/>
          <w:szCs w:val="22"/>
          <w:shd w:val="clear" w:color="auto" w:fill="FFFFFF"/>
        </w:rPr>
        <w:t>c) Divulgación general de la localización de estos centros.</w:t>
      </w:r>
    </w:p>
    <w:p w14:paraId="6C4AE39C" w14:textId="77777777" w:rsidR="00F330E5" w:rsidRPr="00935C48" w:rsidRDefault="00F330E5" w:rsidP="00F330E5">
      <w:pPr>
        <w:spacing w:after="150"/>
        <w:ind w:left="708"/>
        <w:jc w:val="both"/>
        <w:rPr>
          <w:i/>
          <w:color w:val="auto"/>
          <w:sz w:val="22"/>
          <w:szCs w:val="22"/>
          <w:shd w:val="clear" w:color="auto" w:fill="FFFFFF"/>
        </w:rPr>
      </w:pPr>
      <w:r w:rsidRPr="00935C48">
        <w:rPr>
          <w:i/>
          <w:color w:val="auto"/>
          <w:sz w:val="22"/>
          <w:szCs w:val="22"/>
          <w:shd w:val="clear" w:color="auto" w:fill="FFFFFF"/>
        </w:rPr>
        <w:t>d) Flujograma de remisión de pacientes quemados.</w:t>
      </w:r>
    </w:p>
    <w:p w14:paraId="100ADAE0" w14:textId="77777777" w:rsidR="00F330E5" w:rsidRPr="00935C48" w:rsidRDefault="00F330E5" w:rsidP="00F330E5">
      <w:pPr>
        <w:spacing w:after="150"/>
        <w:ind w:left="708"/>
        <w:jc w:val="both"/>
        <w:rPr>
          <w:i/>
          <w:color w:val="auto"/>
          <w:sz w:val="22"/>
          <w:szCs w:val="22"/>
          <w:shd w:val="clear" w:color="auto" w:fill="FFFFFF"/>
        </w:rPr>
      </w:pPr>
      <w:r w:rsidRPr="00935C48">
        <w:rPr>
          <w:i/>
          <w:color w:val="auto"/>
          <w:sz w:val="22"/>
          <w:szCs w:val="22"/>
          <w:shd w:val="clear" w:color="auto" w:fill="FFFFFF"/>
        </w:rPr>
        <w:t>e) Guía de manejo de pacientes quemados.</w:t>
      </w:r>
    </w:p>
    <w:p w14:paraId="0B7B78F4" w14:textId="77777777" w:rsidR="00F330E5" w:rsidRPr="00935C48" w:rsidRDefault="00F330E5" w:rsidP="00F330E5">
      <w:pPr>
        <w:spacing w:after="150"/>
        <w:ind w:left="708"/>
        <w:jc w:val="both"/>
        <w:rPr>
          <w:i/>
          <w:color w:val="auto"/>
          <w:sz w:val="22"/>
          <w:szCs w:val="22"/>
          <w:shd w:val="clear" w:color="auto" w:fill="FFFFFF"/>
        </w:rPr>
      </w:pPr>
      <w:r w:rsidRPr="00935C48">
        <w:rPr>
          <w:i/>
          <w:color w:val="auto"/>
          <w:sz w:val="22"/>
          <w:szCs w:val="22"/>
          <w:shd w:val="clear" w:color="auto" w:fill="FFFFFF"/>
        </w:rPr>
        <w:t>f) Control obligatorio de la atención inicial por urgencias a los pacientes.</w:t>
      </w:r>
    </w:p>
    <w:p w14:paraId="1ADBD740" w14:textId="77777777" w:rsidR="00F330E5" w:rsidRPr="00935C48" w:rsidRDefault="00F330E5" w:rsidP="00F330E5">
      <w:pPr>
        <w:ind w:left="708"/>
        <w:jc w:val="both"/>
        <w:rPr>
          <w:i/>
          <w:color w:val="auto"/>
          <w:sz w:val="22"/>
          <w:szCs w:val="22"/>
        </w:rPr>
      </w:pPr>
      <w:r w:rsidRPr="00935C48">
        <w:rPr>
          <w:i/>
          <w:color w:val="auto"/>
          <w:sz w:val="22"/>
          <w:szCs w:val="22"/>
        </w:rPr>
        <w:t></w:t>
      </w:r>
      <w:r>
        <w:rPr>
          <w:i/>
          <w:color w:val="auto"/>
          <w:sz w:val="22"/>
          <w:szCs w:val="22"/>
        </w:rPr>
        <w:t xml:space="preserve"> </w:t>
      </w:r>
      <w:r w:rsidRPr="00935C48">
        <w:rPr>
          <w:i/>
          <w:color w:val="auto"/>
          <w:sz w:val="22"/>
          <w:szCs w:val="22"/>
        </w:rPr>
        <w:t>Los demás que consideren las autoridades competentes.</w:t>
      </w:r>
    </w:p>
    <w:p w14:paraId="7EDD64F9" w14:textId="77777777" w:rsidR="00F330E5" w:rsidRPr="00935C48" w:rsidRDefault="00F330E5" w:rsidP="00F330E5">
      <w:pPr>
        <w:ind w:left="708"/>
        <w:jc w:val="both"/>
        <w:rPr>
          <w:i/>
          <w:color w:val="auto"/>
          <w:sz w:val="22"/>
          <w:szCs w:val="22"/>
        </w:rPr>
      </w:pPr>
    </w:p>
    <w:p w14:paraId="0E77A38A" w14:textId="77777777" w:rsidR="00F330E5" w:rsidRPr="00935C48" w:rsidRDefault="00F330E5" w:rsidP="00F330E5">
      <w:pPr>
        <w:spacing w:after="150"/>
        <w:ind w:left="708"/>
        <w:jc w:val="both"/>
        <w:rPr>
          <w:i/>
          <w:color w:val="auto"/>
          <w:sz w:val="22"/>
          <w:szCs w:val="22"/>
        </w:rPr>
      </w:pPr>
      <w:r w:rsidRPr="00935C48">
        <w:rPr>
          <w:b/>
          <w:bCs/>
          <w:i/>
          <w:color w:val="auto"/>
          <w:sz w:val="22"/>
          <w:szCs w:val="22"/>
        </w:rPr>
        <w:t>ARTÍCULO 15.-</w:t>
      </w:r>
      <w:r w:rsidRPr="00935C48">
        <w:rPr>
          <w:i/>
          <w:color w:val="auto"/>
          <w:sz w:val="22"/>
          <w:szCs w:val="22"/>
        </w:rPr>
        <w:t> La Secretaría de Salud Distrital, en ejercicio de sus funciones de vigilancia y control del riesgo a la salud, adoptará las medidas de prevención, sanitarias y de seguridad necesarias, para dar en lo de su competencia cumplimiento al presente Decreto. (…)”</w:t>
      </w:r>
    </w:p>
    <w:p w14:paraId="616B87B2" w14:textId="77777777" w:rsidR="00770C9A" w:rsidRPr="00F330E5" w:rsidRDefault="00770C9A" w:rsidP="00770C9A">
      <w:pPr>
        <w:jc w:val="both"/>
        <w:rPr>
          <w:lang w:val="es-CO"/>
        </w:rPr>
      </w:pPr>
    </w:p>
    <w:p w14:paraId="3DBAD565" w14:textId="77777777" w:rsidR="00770C9A" w:rsidRPr="00F330E5" w:rsidRDefault="00770C9A" w:rsidP="00770C9A">
      <w:pPr>
        <w:jc w:val="both"/>
        <w:rPr>
          <w:b/>
          <w:bCs/>
          <w:lang w:val="es-CO"/>
        </w:rPr>
      </w:pPr>
      <w:r w:rsidRPr="00F330E5">
        <w:rPr>
          <w:b/>
          <w:bCs/>
          <w:lang w:val="es-CO"/>
        </w:rPr>
        <w:t>Jurisprudencia</w:t>
      </w:r>
    </w:p>
    <w:p w14:paraId="71B3D9CC" w14:textId="77777777" w:rsidR="00770C9A" w:rsidRPr="00F330E5" w:rsidRDefault="00770C9A" w:rsidP="00770C9A">
      <w:pPr>
        <w:jc w:val="both"/>
        <w:rPr>
          <w:b/>
          <w:bCs/>
          <w:lang w:val="es-CO"/>
        </w:rPr>
      </w:pPr>
    </w:p>
    <w:p w14:paraId="2AE9F323" w14:textId="77777777" w:rsidR="00F330E5" w:rsidRPr="00F330E5" w:rsidRDefault="00F330E5" w:rsidP="00F330E5">
      <w:pPr>
        <w:pStyle w:val="Prrafodelista"/>
        <w:numPr>
          <w:ilvl w:val="0"/>
          <w:numId w:val="11"/>
        </w:numPr>
        <w:jc w:val="both"/>
        <w:rPr>
          <w:iCs/>
          <w:color w:val="auto"/>
          <w:shd w:val="clear" w:color="auto" w:fill="FFFFFF"/>
        </w:rPr>
      </w:pPr>
      <w:r w:rsidRPr="00F330E5">
        <w:rPr>
          <w:iCs/>
          <w:color w:val="auto"/>
          <w:shd w:val="clear" w:color="auto" w:fill="FFFFFF"/>
        </w:rPr>
        <w:t>Sentencia T-760 de 2008 Corte Constitucional</w:t>
      </w:r>
    </w:p>
    <w:p w14:paraId="3373FFA5" w14:textId="77777777" w:rsidR="00770C9A" w:rsidRDefault="00770C9A" w:rsidP="00770C9A">
      <w:pPr>
        <w:jc w:val="both"/>
        <w:rPr>
          <w:b/>
          <w:bCs/>
          <w:lang w:val="es-CO"/>
        </w:rPr>
      </w:pPr>
    </w:p>
    <w:p w14:paraId="7E43A3BA" w14:textId="77777777" w:rsidR="00770C9A" w:rsidRDefault="00770C9A" w:rsidP="00770C9A">
      <w:pPr>
        <w:jc w:val="both"/>
        <w:rPr>
          <w:b/>
          <w:bCs/>
          <w:lang w:val="es-CO"/>
        </w:rPr>
      </w:pPr>
    </w:p>
    <w:p w14:paraId="18976BA8" w14:textId="77777777" w:rsidR="00006D82" w:rsidRPr="00F330E5" w:rsidRDefault="00006D82" w:rsidP="00770C9A">
      <w:pPr>
        <w:jc w:val="both"/>
        <w:rPr>
          <w:lang w:val="es-CO"/>
        </w:rPr>
      </w:pPr>
    </w:p>
    <w:p w14:paraId="149B10FD" w14:textId="77777777" w:rsidR="00CD2C3D" w:rsidRPr="00F330E5" w:rsidRDefault="00CD2C3D">
      <w:pPr>
        <w:jc w:val="both"/>
      </w:pPr>
    </w:p>
    <w:p w14:paraId="1BE7696B" w14:textId="77777777" w:rsidR="00CD2C3D" w:rsidRPr="00F330E5" w:rsidRDefault="000A4225">
      <w:pPr>
        <w:numPr>
          <w:ilvl w:val="0"/>
          <w:numId w:val="3"/>
        </w:numPr>
        <w:jc w:val="both"/>
        <w:rPr>
          <w:u w:val="single"/>
        </w:rPr>
      </w:pPr>
      <w:r w:rsidRPr="00F330E5">
        <w:rPr>
          <w:b/>
          <w:u w:val="single"/>
        </w:rPr>
        <w:lastRenderedPageBreak/>
        <w:t>CONSIDERACIONES DE LOS PONENTES</w:t>
      </w:r>
    </w:p>
    <w:p w14:paraId="17C3E77E" w14:textId="49A153E9" w:rsidR="00CD2C3D" w:rsidRDefault="00CD2C3D">
      <w:pPr>
        <w:jc w:val="both"/>
        <w:rPr>
          <w:bCs/>
        </w:rPr>
      </w:pPr>
    </w:p>
    <w:p w14:paraId="68E4ACD4" w14:textId="208A92D0" w:rsidR="00484D5D" w:rsidRDefault="00484D5D">
      <w:pPr>
        <w:jc w:val="both"/>
        <w:rPr>
          <w:bCs/>
        </w:rPr>
      </w:pPr>
      <w:r>
        <w:rPr>
          <w:bCs/>
        </w:rPr>
        <w:t xml:space="preserve">Las lesiones por quemaduras han sido consideradas como </w:t>
      </w:r>
      <w:r w:rsidR="006C7CC4">
        <w:rPr>
          <w:bCs/>
        </w:rPr>
        <w:t xml:space="preserve">graves vulneraciones a la vida digna, es más, siguiendo los lineamientos de la Corte Constitucional </w:t>
      </w:r>
      <w:r w:rsidR="00FC7690">
        <w:rPr>
          <w:bCs/>
        </w:rPr>
        <w:t xml:space="preserve">el derecho a la vida no se limita a la mera existencia, implica una existencia digna, las quemaduras suelen tener impactos negativos en la calidad de vida de las personas, </w:t>
      </w:r>
      <w:r w:rsidR="00A21C34">
        <w:rPr>
          <w:bCs/>
        </w:rPr>
        <w:t>y la necesidad de</w:t>
      </w:r>
      <w:r w:rsidR="00FC7690">
        <w:rPr>
          <w:bCs/>
        </w:rPr>
        <w:t xml:space="preserve"> tomar medidas para mejorar la situación o en su defecto prevenirla, de lo contrario constituye una violación de este derecho fundamental</w:t>
      </w:r>
      <w:r w:rsidR="00FC7690">
        <w:rPr>
          <w:rStyle w:val="Refdenotaalpie"/>
          <w:bCs/>
        </w:rPr>
        <w:footnoteReference w:id="3"/>
      </w:r>
      <w:r w:rsidR="00FC7690">
        <w:rPr>
          <w:bCs/>
        </w:rPr>
        <w:t>.</w:t>
      </w:r>
    </w:p>
    <w:p w14:paraId="38073CC7" w14:textId="77777777" w:rsidR="00FC7690" w:rsidRDefault="00FC7690">
      <w:pPr>
        <w:jc w:val="both"/>
        <w:rPr>
          <w:bCs/>
        </w:rPr>
      </w:pPr>
    </w:p>
    <w:p w14:paraId="5E0B9B96" w14:textId="2A19BF0C" w:rsidR="00FE6AF3" w:rsidRDefault="00FE6AF3">
      <w:pPr>
        <w:jc w:val="both"/>
        <w:rPr>
          <w:bCs/>
        </w:rPr>
      </w:pPr>
      <w:r>
        <w:rPr>
          <w:bCs/>
        </w:rPr>
        <w:t xml:space="preserve">Las quemaduras son un problema de salud pública, las lesiones </w:t>
      </w:r>
      <w:r w:rsidR="00A21C34">
        <w:rPr>
          <w:bCs/>
        </w:rPr>
        <w:t>térmicas</w:t>
      </w:r>
      <w:r>
        <w:rPr>
          <w:bCs/>
        </w:rPr>
        <w:t xml:space="preserve"> son considerad</w:t>
      </w:r>
      <w:r w:rsidR="00A21C34">
        <w:rPr>
          <w:bCs/>
        </w:rPr>
        <w:t>a</w:t>
      </w:r>
      <w:r>
        <w:rPr>
          <w:bCs/>
        </w:rPr>
        <w:t xml:space="preserve">s de los peores traumatismos que puede sufrir una persona, </w:t>
      </w:r>
      <w:r w:rsidR="00A21C34">
        <w:rPr>
          <w:bCs/>
        </w:rPr>
        <w:t xml:space="preserve">generando </w:t>
      </w:r>
      <w:r>
        <w:rPr>
          <w:bCs/>
        </w:rPr>
        <w:t xml:space="preserve">efectos fisiopatológicos y secuelas físicas y psíquicas, producen discapacidad prolongada y permanente que afecta la calidad de vida de las </w:t>
      </w:r>
      <w:r w:rsidR="00A21C34">
        <w:rPr>
          <w:bCs/>
        </w:rPr>
        <w:t>personas y daños irreversibles</w:t>
      </w:r>
      <w:r>
        <w:rPr>
          <w:bCs/>
        </w:rPr>
        <w:t>.</w:t>
      </w:r>
    </w:p>
    <w:p w14:paraId="462BC06F" w14:textId="77777777" w:rsidR="00FE6AF3" w:rsidRDefault="00FE6AF3">
      <w:pPr>
        <w:jc w:val="both"/>
        <w:rPr>
          <w:bCs/>
        </w:rPr>
      </w:pPr>
    </w:p>
    <w:p w14:paraId="68A71B6D" w14:textId="33B5D5E6" w:rsidR="00FC7690" w:rsidRDefault="00FE6AF3">
      <w:pPr>
        <w:jc w:val="both"/>
        <w:rPr>
          <w:bCs/>
        </w:rPr>
      </w:pPr>
      <w:r>
        <w:rPr>
          <w:bCs/>
        </w:rPr>
        <w:t xml:space="preserve">La Organización Mundial de la Salud (OMS) afirma que en Colombia han fallecido más de 1.100 niños durante 10 años de observación, representando el 22,1% de todas las muertes relacionadas con quemaduras, siendo entonces la población más </w:t>
      </w:r>
      <w:r w:rsidR="00A21C34">
        <w:rPr>
          <w:bCs/>
        </w:rPr>
        <w:t>vulnerable, como s</w:t>
      </w:r>
      <w:r>
        <w:rPr>
          <w:bCs/>
        </w:rPr>
        <w:t xml:space="preserve">ujetos de especial protección, sus lesiones por quemaduras son motivo de interés público y </w:t>
      </w:r>
      <w:r w:rsidR="00A21C34">
        <w:rPr>
          <w:bCs/>
        </w:rPr>
        <w:t>necesitan</w:t>
      </w:r>
      <w:r>
        <w:rPr>
          <w:bCs/>
        </w:rPr>
        <w:t xml:space="preserve"> una efectiva intervención institucional que erradique las causas comunes de lesiones térmicas. </w:t>
      </w:r>
      <w:r w:rsidR="00A21C34">
        <w:rPr>
          <w:bCs/>
        </w:rPr>
        <w:t>Causas que</w:t>
      </w:r>
      <w:r>
        <w:rPr>
          <w:bCs/>
        </w:rPr>
        <w:t xml:space="preserve"> no son fortuitas, son causadas por la actuación u omisión de alguna persona</w:t>
      </w:r>
      <w:r w:rsidR="00987791">
        <w:rPr>
          <w:bCs/>
        </w:rPr>
        <w:t>, en ese sentido es posible evitarl</w:t>
      </w:r>
      <w:r w:rsidR="0098000C">
        <w:rPr>
          <w:bCs/>
        </w:rPr>
        <w:t>as</w:t>
      </w:r>
      <w:r w:rsidR="00987791">
        <w:rPr>
          <w:bCs/>
        </w:rPr>
        <w:t xml:space="preserve"> mediante planes y acciones que prevean estas situaciones que</w:t>
      </w:r>
      <w:r w:rsidR="0098000C">
        <w:rPr>
          <w:bCs/>
        </w:rPr>
        <w:t xml:space="preserve"> tiene</w:t>
      </w:r>
      <w:r w:rsidR="00987791">
        <w:rPr>
          <w:bCs/>
        </w:rPr>
        <w:t>n desenlace fatal para los niños y niñas</w:t>
      </w:r>
      <w:r w:rsidR="0098000C">
        <w:rPr>
          <w:bCs/>
        </w:rPr>
        <w:t xml:space="preserve"> y en general para toda la población</w:t>
      </w:r>
      <w:r w:rsidR="00987791">
        <w:rPr>
          <w:bCs/>
        </w:rPr>
        <w:t>.</w:t>
      </w:r>
    </w:p>
    <w:p w14:paraId="480C6D7A" w14:textId="77777777" w:rsidR="00987791" w:rsidRDefault="00987791">
      <w:pPr>
        <w:jc w:val="both"/>
        <w:rPr>
          <w:bCs/>
        </w:rPr>
      </w:pPr>
    </w:p>
    <w:p w14:paraId="23643FB1" w14:textId="50CFCA57" w:rsidR="00987791" w:rsidRDefault="00B31CFC">
      <w:pPr>
        <w:jc w:val="both"/>
        <w:rPr>
          <w:bCs/>
        </w:rPr>
      </w:pPr>
      <w:r>
        <w:rPr>
          <w:bCs/>
        </w:rPr>
        <w:t>De acuerdo con el Instituto Nacional de Salud</w:t>
      </w:r>
      <w:r>
        <w:rPr>
          <w:rStyle w:val="Refdenotaalpie"/>
          <w:bCs/>
        </w:rPr>
        <w:footnoteReference w:id="4"/>
      </w:r>
      <w:r>
        <w:rPr>
          <w:bCs/>
        </w:rPr>
        <w:t>, p</w:t>
      </w:r>
      <w:r w:rsidR="00987791">
        <w:rPr>
          <w:bCs/>
        </w:rPr>
        <w:t xml:space="preserve">ara el año 2024 el Distrito Capital </w:t>
      </w:r>
      <w:r w:rsidR="0098000C">
        <w:rPr>
          <w:bCs/>
        </w:rPr>
        <w:t xml:space="preserve">encabezó la lista de lesiones por quemaduras en todo el país, se registraron </w:t>
      </w:r>
      <w:r w:rsidR="00987791">
        <w:rPr>
          <w:bCs/>
        </w:rPr>
        <w:t>100 casos de quemaduras</w:t>
      </w:r>
      <w:r w:rsidR="00A21C34">
        <w:rPr>
          <w:bCs/>
        </w:rPr>
        <w:t xml:space="preserve"> en diciembre</w:t>
      </w:r>
      <w:r w:rsidR="00987791">
        <w:rPr>
          <w:bCs/>
        </w:rPr>
        <w:t>, durante el año</w:t>
      </w:r>
      <w:r w:rsidR="00A4542C">
        <w:rPr>
          <w:bCs/>
        </w:rPr>
        <w:t xml:space="preserve"> se registraron</w:t>
      </w:r>
      <w:r w:rsidR="00987791">
        <w:rPr>
          <w:bCs/>
        </w:rPr>
        <w:t xml:space="preserve"> 202</w:t>
      </w:r>
      <w:r w:rsidR="00A4542C">
        <w:rPr>
          <w:bCs/>
        </w:rPr>
        <w:t>.</w:t>
      </w:r>
      <w:r w:rsidR="00987791">
        <w:rPr>
          <w:bCs/>
        </w:rPr>
        <w:t>387 casos, representando un aumento del 14,9% al ser un problema tradicional, que siempre ha estado presente en la vida cotidiana de los ciudadanos, se pensaría en la implementación de políticas públicas que busquen la erradicación o al menos mitigación de casos de quemados en la ciudad, efecto contrario a las cifras de los últimos años</w:t>
      </w:r>
      <w:r w:rsidR="00FC546F">
        <w:rPr>
          <w:bCs/>
        </w:rPr>
        <w:t>.</w:t>
      </w:r>
    </w:p>
    <w:p w14:paraId="7E5F434D" w14:textId="77777777" w:rsidR="00FC546F" w:rsidRDefault="00FC546F">
      <w:pPr>
        <w:jc w:val="both"/>
        <w:rPr>
          <w:bCs/>
        </w:rPr>
      </w:pPr>
    </w:p>
    <w:p w14:paraId="2385589C" w14:textId="3AAFD723" w:rsidR="00FC546F" w:rsidRPr="00484D5D" w:rsidRDefault="00FC546F">
      <w:pPr>
        <w:jc w:val="both"/>
        <w:rPr>
          <w:bCs/>
        </w:rPr>
      </w:pPr>
      <w:r>
        <w:rPr>
          <w:bCs/>
        </w:rPr>
        <w:lastRenderedPageBreak/>
        <w:t xml:space="preserve">Las cifras aumentan considerablemente en las festividades, la venta y el uso de pólvora es desmesurado </w:t>
      </w:r>
      <w:r w:rsidR="0098000C">
        <w:rPr>
          <w:bCs/>
        </w:rPr>
        <w:t xml:space="preserve">para </w:t>
      </w:r>
      <w:r>
        <w:rPr>
          <w:bCs/>
        </w:rPr>
        <w:t xml:space="preserve">estas fechas, los esfuerzos institucionales deben ir dirigidos a informar e incentivar el uso seguro de la pólvora, conocer las principales causas de las lesiones térmicas para su mitigación y erradicación, además de </w:t>
      </w:r>
      <w:r w:rsidR="00A21C34">
        <w:rPr>
          <w:bCs/>
        </w:rPr>
        <w:t>planes y acciones para otorgarles una</w:t>
      </w:r>
      <w:r>
        <w:rPr>
          <w:bCs/>
        </w:rPr>
        <w:t xml:space="preserve"> atención integral a la población más vulnerable,</w:t>
      </w:r>
      <w:r w:rsidR="00A21C34">
        <w:rPr>
          <w:bCs/>
        </w:rPr>
        <w:t xml:space="preserve"> en este caso los menores de edad y más que buscar soluciones dirigidas a la recuperación de las víctimas enfocarlas a la prevención y monitoreo de las causas, prestando especial atención a las fechas donde más se registran casos de quemaduras, las localidades y la población mas vulnerable o con más casos registrados.</w:t>
      </w:r>
    </w:p>
    <w:p w14:paraId="5251EA70" w14:textId="77777777" w:rsidR="00CD2C3D" w:rsidRPr="00F330E5" w:rsidRDefault="00CD2C3D">
      <w:pPr>
        <w:jc w:val="both"/>
        <w:rPr>
          <w:highlight w:val="green"/>
        </w:rPr>
      </w:pPr>
    </w:p>
    <w:p w14:paraId="2B9BACEC" w14:textId="77777777" w:rsidR="00CD2C3D" w:rsidRPr="00F330E5" w:rsidRDefault="00CD2C3D">
      <w:pPr>
        <w:jc w:val="both"/>
      </w:pPr>
      <w:bookmarkStart w:id="3" w:name="_heading=h.aloma75jlk9s" w:colFirst="0" w:colLast="0"/>
      <w:bookmarkEnd w:id="3"/>
    </w:p>
    <w:p w14:paraId="0E45923C" w14:textId="77777777" w:rsidR="00CD2C3D" w:rsidRPr="00F330E5" w:rsidRDefault="000A4225">
      <w:pPr>
        <w:numPr>
          <w:ilvl w:val="0"/>
          <w:numId w:val="3"/>
        </w:numPr>
        <w:jc w:val="both"/>
        <w:rPr>
          <w:u w:val="single"/>
        </w:rPr>
      </w:pPr>
      <w:r w:rsidRPr="00F330E5">
        <w:rPr>
          <w:b/>
          <w:u w:val="single"/>
        </w:rPr>
        <w:t>IMPACTO FISCAL</w:t>
      </w:r>
    </w:p>
    <w:p w14:paraId="1E07B9A0" w14:textId="77777777" w:rsidR="00CD2C3D" w:rsidRPr="00F330E5" w:rsidRDefault="00CD2C3D">
      <w:pPr>
        <w:ind w:left="720"/>
        <w:jc w:val="both"/>
        <w:rPr>
          <w:b/>
          <w:u w:val="single"/>
        </w:rPr>
      </w:pPr>
    </w:p>
    <w:p w14:paraId="296900F3" w14:textId="39F3011A" w:rsidR="00CD2C3D" w:rsidRPr="00F330E5" w:rsidRDefault="000A4225">
      <w:pPr>
        <w:jc w:val="both"/>
      </w:pPr>
      <w:r w:rsidRPr="00F330E5">
        <w:t>De acuerdo con el autor, el proyecto de acuerdo no genera impacto fiscal, en los términos de la Ley 819 de 2003 “</w:t>
      </w:r>
      <w:r w:rsidRPr="00F330E5">
        <w:rPr>
          <w:i/>
        </w:rPr>
        <w:t>Por la cual se dictan normas orgánicas en materia de presupuesto, responsabilidad y transparencia fiscal y se dictan otras disposiciones</w:t>
      </w:r>
      <w:r w:rsidR="00B449CC" w:rsidRPr="00F330E5">
        <w:t>”,</w:t>
      </w:r>
      <w:r w:rsidRPr="00F330E5">
        <w:t xml:space="preserve"> pues no causa afectaciones al Marco Fiscal de Mediano Plazo. </w:t>
      </w:r>
    </w:p>
    <w:p w14:paraId="3C562B3E" w14:textId="77777777" w:rsidR="00CD2C3D" w:rsidRPr="00F330E5" w:rsidRDefault="00CD2C3D">
      <w:pPr>
        <w:jc w:val="both"/>
      </w:pPr>
    </w:p>
    <w:p w14:paraId="4AEADABA" w14:textId="77777777" w:rsidR="00CD2C3D" w:rsidRPr="00F330E5" w:rsidRDefault="00CD2C3D">
      <w:pPr>
        <w:jc w:val="both"/>
        <w:rPr>
          <w:highlight w:val="white"/>
        </w:rPr>
      </w:pPr>
    </w:p>
    <w:p w14:paraId="2ED5FCDE" w14:textId="77777777" w:rsidR="00CD2C3D" w:rsidRPr="00F330E5" w:rsidRDefault="000A4225">
      <w:pPr>
        <w:numPr>
          <w:ilvl w:val="0"/>
          <w:numId w:val="3"/>
        </w:numPr>
        <w:jc w:val="both"/>
        <w:rPr>
          <w:highlight w:val="white"/>
          <w:u w:val="single"/>
        </w:rPr>
      </w:pPr>
      <w:r w:rsidRPr="00F330E5">
        <w:rPr>
          <w:b/>
          <w:highlight w:val="white"/>
          <w:u w:val="single"/>
        </w:rPr>
        <w:t>CONCLUSIONES</w:t>
      </w:r>
    </w:p>
    <w:p w14:paraId="6252AEAF" w14:textId="77777777" w:rsidR="00CD2C3D" w:rsidRPr="00F330E5" w:rsidRDefault="00CD2C3D">
      <w:pPr>
        <w:jc w:val="both"/>
        <w:rPr>
          <w:b/>
          <w:highlight w:val="white"/>
          <w:u w:val="single"/>
        </w:rPr>
      </w:pPr>
    </w:p>
    <w:p w14:paraId="190447D8" w14:textId="4E7B40B7" w:rsidR="00CD2C3D" w:rsidRPr="00F330E5" w:rsidRDefault="000A4225">
      <w:pPr>
        <w:jc w:val="both"/>
        <w:rPr>
          <w:i/>
        </w:rPr>
      </w:pPr>
      <w:r w:rsidRPr="00F330E5">
        <w:rPr>
          <w:highlight w:val="white"/>
        </w:rPr>
        <w:t xml:space="preserve">Teniendo en cuenta las consideraciones planteadas y los argumentos sostenidos, </w:t>
      </w:r>
      <w:r w:rsidR="00484D5D">
        <w:t>me permito</w:t>
      </w:r>
      <w:r w:rsidRPr="00F330E5">
        <w:t xml:space="preserve"> rendir </w:t>
      </w:r>
      <w:r w:rsidRPr="00F330E5">
        <w:rPr>
          <w:b/>
        </w:rPr>
        <w:t>PONENCIA POSITIVA</w:t>
      </w:r>
      <w:r w:rsidR="0098000C">
        <w:rPr>
          <w:b/>
        </w:rPr>
        <w:t xml:space="preserve"> CON MODIFICACIONES</w:t>
      </w:r>
      <w:r w:rsidR="00B449CC" w:rsidRPr="00F330E5">
        <w:rPr>
          <w:b/>
        </w:rPr>
        <w:t xml:space="preserve"> </w:t>
      </w:r>
      <w:r w:rsidR="00B449CC" w:rsidRPr="00F330E5">
        <w:t>al</w:t>
      </w:r>
      <w:r w:rsidRPr="00F330E5">
        <w:t xml:space="preserve"> Proyecto de Acuerdo </w:t>
      </w:r>
      <w:r w:rsidR="00484D5D">
        <w:t>517</w:t>
      </w:r>
      <w:r w:rsidRPr="00F330E5">
        <w:t xml:space="preserve"> de 2025</w:t>
      </w:r>
      <w:r w:rsidR="000520FE" w:rsidRPr="00F330E5">
        <w:t>”</w:t>
      </w:r>
    </w:p>
    <w:p w14:paraId="5444DBE5" w14:textId="77777777" w:rsidR="00CD2C3D" w:rsidRPr="00F330E5" w:rsidRDefault="00CD2C3D">
      <w:pPr>
        <w:jc w:val="both"/>
        <w:rPr>
          <w:i/>
        </w:rPr>
      </w:pPr>
    </w:p>
    <w:p w14:paraId="61B8E669" w14:textId="77777777" w:rsidR="00CD2C3D" w:rsidRPr="00F330E5" w:rsidRDefault="00CD2C3D">
      <w:pPr>
        <w:jc w:val="both"/>
        <w:rPr>
          <w:i/>
        </w:rPr>
      </w:pPr>
    </w:p>
    <w:p w14:paraId="0D6C3991" w14:textId="77777777" w:rsidR="00CD2C3D" w:rsidRPr="00F330E5" w:rsidRDefault="00CD2C3D">
      <w:pPr>
        <w:jc w:val="both"/>
        <w:rPr>
          <w:highlight w:val="white"/>
        </w:rPr>
      </w:pPr>
    </w:p>
    <w:p w14:paraId="0BE926FA" w14:textId="77777777" w:rsidR="00CD2C3D" w:rsidRPr="00F330E5" w:rsidRDefault="000A4225">
      <w:pPr>
        <w:spacing w:line="276" w:lineRule="auto"/>
        <w:jc w:val="both"/>
      </w:pPr>
      <w:r w:rsidRPr="00F330E5">
        <w:t>Atentamente,</w:t>
      </w:r>
    </w:p>
    <w:p w14:paraId="0A88FA3F" w14:textId="77777777" w:rsidR="00CD2C3D" w:rsidRPr="00F330E5" w:rsidRDefault="00CD2C3D">
      <w:pPr>
        <w:spacing w:line="276" w:lineRule="auto"/>
        <w:jc w:val="both"/>
      </w:pPr>
    </w:p>
    <w:p w14:paraId="43F509EB" w14:textId="6F0096E5" w:rsidR="00CD2C3D" w:rsidRPr="00F330E5" w:rsidRDefault="00CD2C3D">
      <w:pPr>
        <w:spacing w:line="276" w:lineRule="auto"/>
        <w:jc w:val="both"/>
      </w:pPr>
    </w:p>
    <w:p w14:paraId="2A8A5DB4" w14:textId="0EC7BB99" w:rsidR="00CD2C3D" w:rsidRPr="00F330E5" w:rsidRDefault="00CD2C3D">
      <w:pPr>
        <w:spacing w:line="276" w:lineRule="auto"/>
        <w:jc w:val="both"/>
      </w:pPr>
    </w:p>
    <w:p w14:paraId="19399A5C" w14:textId="3DDE446F" w:rsidR="00CD2C3D" w:rsidRPr="00F330E5" w:rsidRDefault="00CD2C3D">
      <w:pPr>
        <w:spacing w:line="276" w:lineRule="auto"/>
        <w:jc w:val="both"/>
      </w:pPr>
    </w:p>
    <w:p w14:paraId="121C5249" w14:textId="77777777" w:rsidR="005B42BA" w:rsidRPr="00F330E5" w:rsidRDefault="005B42BA">
      <w:pPr>
        <w:spacing w:line="200" w:lineRule="auto"/>
        <w:rPr>
          <w:b/>
        </w:rPr>
      </w:pPr>
    </w:p>
    <w:p w14:paraId="1E8C6EEF" w14:textId="469FDCBD" w:rsidR="00CD2C3D" w:rsidRPr="00F330E5" w:rsidRDefault="00B449CC">
      <w:pPr>
        <w:spacing w:line="200" w:lineRule="auto"/>
        <w:rPr>
          <w:b/>
        </w:rPr>
      </w:pPr>
      <w:r w:rsidRPr="00F330E5">
        <w:rPr>
          <w:b/>
        </w:rPr>
        <w:t>ANDRÉS BARRIOS BERNAL</w:t>
      </w:r>
      <w:r w:rsidR="000A4225" w:rsidRPr="00F330E5">
        <w:rPr>
          <w:b/>
        </w:rPr>
        <w:t xml:space="preserve">           </w:t>
      </w:r>
    </w:p>
    <w:p w14:paraId="0C888BB0" w14:textId="0EA90A89" w:rsidR="00CD2C3D" w:rsidRPr="00F330E5" w:rsidRDefault="00B449CC">
      <w:pPr>
        <w:spacing w:line="200" w:lineRule="auto"/>
      </w:pPr>
      <w:r w:rsidRPr="00F330E5">
        <w:t>Concejal de Bogotá, D. C.</w:t>
      </w:r>
      <w:r w:rsidRPr="00F330E5">
        <w:tab/>
      </w:r>
      <w:r w:rsidRPr="00F330E5">
        <w:tab/>
      </w:r>
    </w:p>
    <w:p w14:paraId="6D638FA3" w14:textId="0D1C638B" w:rsidR="00CD2C3D" w:rsidRPr="00F330E5" w:rsidRDefault="00B449CC">
      <w:pPr>
        <w:spacing w:line="200" w:lineRule="auto"/>
      </w:pPr>
      <w:r w:rsidRPr="00F330E5">
        <w:t>Ponente</w:t>
      </w:r>
    </w:p>
    <w:p w14:paraId="1F8A62F8" w14:textId="0CFBF172" w:rsidR="00CD2C3D" w:rsidRPr="00F330E5" w:rsidRDefault="00B449CC">
      <w:pPr>
        <w:spacing w:line="200" w:lineRule="auto"/>
      </w:pPr>
      <w:r w:rsidRPr="00F330E5">
        <w:t>Partido Centro Democrático</w:t>
      </w:r>
    </w:p>
    <w:p w14:paraId="42EB09D5" w14:textId="77777777" w:rsidR="00CD2C3D" w:rsidRPr="00F330E5" w:rsidRDefault="00CD2C3D" w:rsidP="005B42BA">
      <w:pPr>
        <w:rPr>
          <w:b/>
          <w:i/>
        </w:rPr>
      </w:pPr>
    </w:p>
    <w:p w14:paraId="41984219" w14:textId="77777777" w:rsidR="000A55EE" w:rsidRPr="00F330E5" w:rsidRDefault="000A55EE" w:rsidP="005B42BA">
      <w:pPr>
        <w:rPr>
          <w:b/>
          <w:i/>
        </w:rPr>
      </w:pPr>
    </w:p>
    <w:p w14:paraId="1E27F160" w14:textId="77777777" w:rsidR="00987791" w:rsidRPr="00F330E5" w:rsidRDefault="00987791" w:rsidP="00FC546F">
      <w:pPr>
        <w:rPr>
          <w:b/>
          <w:i/>
        </w:rPr>
      </w:pPr>
    </w:p>
    <w:p w14:paraId="685E05A6" w14:textId="77777777" w:rsidR="00CD2C3D" w:rsidRPr="00F330E5" w:rsidRDefault="000A4225">
      <w:pPr>
        <w:jc w:val="center"/>
        <w:rPr>
          <w:b/>
          <w:i/>
        </w:rPr>
      </w:pPr>
      <w:r w:rsidRPr="00F330E5">
        <w:rPr>
          <w:b/>
          <w:i/>
        </w:rPr>
        <w:t>ARTICULADO</w:t>
      </w:r>
    </w:p>
    <w:p w14:paraId="7A0BA750" w14:textId="77777777" w:rsidR="00CD2C3D" w:rsidRPr="00F330E5" w:rsidRDefault="00CD2C3D">
      <w:pPr>
        <w:jc w:val="center"/>
        <w:rPr>
          <w:b/>
          <w:i/>
        </w:rPr>
      </w:pPr>
    </w:p>
    <w:p w14:paraId="33219BF8" w14:textId="2BE42F41" w:rsidR="005B42BA" w:rsidRPr="00F330E5" w:rsidRDefault="005B42BA" w:rsidP="00B31CFC">
      <w:pPr>
        <w:jc w:val="center"/>
        <w:rPr>
          <w:b/>
          <w:bCs/>
          <w:i/>
          <w:lang w:val="es-CO"/>
        </w:rPr>
      </w:pPr>
      <w:r w:rsidRPr="00F330E5">
        <w:rPr>
          <w:b/>
          <w:bCs/>
          <w:i/>
          <w:lang w:val="es-CO"/>
        </w:rPr>
        <w:t xml:space="preserve">Proyecto de Acuerdo No </w:t>
      </w:r>
      <w:r w:rsidR="00846130">
        <w:rPr>
          <w:b/>
          <w:bCs/>
          <w:i/>
          <w:lang w:val="es-CO"/>
        </w:rPr>
        <w:t>517</w:t>
      </w:r>
      <w:r w:rsidRPr="00F330E5">
        <w:rPr>
          <w:b/>
          <w:bCs/>
          <w:i/>
          <w:lang w:val="es-CO"/>
        </w:rPr>
        <w:t xml:space="preserve"> de 2025</w:t>
      </w:r>
    </w:p>
    <w:p w14:paraId="5AFEB9ED" w14:textId="1E8D4030" w:rsidR="005B42BA" w:rsidRDefault="00846130" w:rsidP="00006D82">
      <w:pPr>
        <w:pStyle w:val="NormalWeb"/>
        <w:jc w:val="center"/>
        <w:rPr>
          <w:rFonts w:ascii="Arial" w:hAnsi="Arial" w:cs="Arial"/>
          <w:b/>
          <w:bCs/>
        </w:rPr>
      </w:pPr>
      <w:r w:rsidRPr="00846130">
        <w:rPr>
          <w:rFonts w:ascii="Arial" w:hAnsi="Arial" w:cs="Arial"/>
          <w:b/>
          <w:bCs/>
          <w:i/>
        </w:rPr>
        <w:t>"</w:t>
      </w:r>
      <w:r w:rsidRPr="00846130">
        <w:rPr>
          <w:rFonts w:ascii="Arial" w:hAnsi="Arial" w:cs="Arial"/>
          <w:b/>
          <w:bCs/>
        </w:rPr>
        <w:t>Por medio del cual se modifica el Acuerd</w:t>
      </w:r>
      <w:r w:rsidR="00B31CFC">
        <w:rPr>
          <w:rFonts w:ascii="Arial" w:hAnsi="Arial" w:cs="Arial"/>
          <w:b/>
          <w:bCs/>
        </w:rPr>
        <w:t>o</w:t>
      </w:r>
      <w:r w:rsidRPr="00846130">
        <w:rPr>
          <w:rFonts w:ascii="Arial" w:hAnsi="Arial" w:cs="Arial"/>
          <w:b/>
          <w:bCs/>
        </w:rPr>
        <w:t xml:space="preserve"> 867 de</w:t>
      </w:r>
      <w:r w:rsidRPr="00846130">
        <w:rPr>
          <w:rFonts w:ascii="Arial" w:hAnsi="Arial" w:cs="Arial"/>
          <w:b/>
          <w:bCs/>
          <w:i/>
        </w:rPr>
        <w:t xml:space="preserve"> 2023 «</w:t>
      </w:r>
      <w:r w:rsidRPr="00846130">
        <w:rPr>
          <w:rFonts w:ascii="Arial" w:hAnsi="Arial" w:cs="Arial"/>
          <w:b/>
          <w:bCs/>
          <w:i/>
          <w:iCs/>
          <w:shd w:val="clear" w:color="auto" w:fill="FFFFFF"/>
        </w:rPr>
        <w:t>Por el cual se establecen lineamientos y estrategias para la prevención y atención integral de personas con lesiones por quemaduras en Bogotá D.C.</w:t>
      </w:r>
      <w:r w:rsidRPr="00846130">
        <w:rPr>
          <w:rFonts w:ascii="Arial" w:hAnsi="Arial" w:cs="Arial"/>
          <w:b/>
          <w:bCs/>
          <w:i/>
        </w:rPr>
        <w:t xml:space="preserve"> » </w:t>
      </w:r>
      <w:r w:rsidRPr="00846130">
        <w:rPr>
          <w:rFonts w:ascii="Arial" w:hAnsi="Arial" w:cs="Arial"/>
          <w:b/>
          <w:bCs/>
        </w:rPr>
        <w:t>y se dictan otras disposiciones”</w:t>
      </w:r>
    </w:p>
    <w:p w14:paraId="7814FEE4" w14:textId="77777777" w:rsidR="00006D82" w:rsidRPr="00F330E5" w:rsidRDefault="00006D82" w:rsidP="00006D82">
      <w:pPr>
        <w:pStyle w:val="NormalWeb"/>
        <w:jc w:val="center"/>
        <w:rPr>
          <w:rFonts w:ascii="Arial" w:hAnsi="Arial" w:cs="Arial"/>
          <w:b/>
          <w:bCs/>
          <w:i/>
        </w:rPr>
      </w:pPr>
    </w:p>
    <w:p w14:paraId="24410830" w14:textId="77777777" w:rsidR="00846130" w:rsidRDefault="00846130" w:rsidP="00846130">
      <w:pPr>
        <w:spacing w:before="100" w:beforeAutospacing="1" w:after="100" w:afterAutospacing="1"/>
        <w:jc w:val="both"/>
      </w:pPr>
      <w:r w:rsidRPr="00BF0BC1">
        <w:rPr>
          <w:b/>
        </w:rPr>
        <w:t>ARTÍCULO PRIMERO:</w:t>
      </w:r>
      <w:r w:rsidRPr="00BF0BC1">
        <w:t xml:space="preserve"> Créese un artículo nuevo, el cual quedará de la siguiente manera:</w:t>
      </w:r>
    </w:p>
    <w:p w14:paraId="6DE3D753" w14:textId="76283EC5" w:rsidR="00846130" w:rsidRPr="004C38BE" w:rsidRDefault="00846130" w:rsidP="00846130">
      <w:pPr>
        <w:spacing w:before="100" w:beforeAutospacing="1" w:after="100" w:afterAutospacing="1"/>
        <w:ind w:left="708"/>
        <w:jc w:val="both"/>
        <w:rPr>
          <w:lang w:eastAsia="es-CO"/>
        </w:rPr>
      </w:pPr>
      <w:r w:rsidRPr="004A6BC8">
        <w:rPr>
          <w:b/>
        </w:rPr>
        <w:t>Artículo 6</w:t>
      </w:r>
      <w:r>
        <w:t xml:space="preserve">. </w:t>
      </w:r>
      <w:r w:rsidRPr="004C38BE">
        <w:t>L</w:t>
      </w:r>
      <w:r w:rsidRPr="004C38BE">
        <w:rPr>
          <w:color w:val="auto"/>
        </w:rPr>
        <w:t xml:space="preserve">a Secretaría Distrital de Salud, reglamentará y promoverá el </w:t>
      </w:r>
      <w:r w:rsidRPr="004C38BE">
        <w:rPr>
          <w:b/>
          <w:bCs/>
          <w:i/>
          <w:iCs/>
          <w:color w:val="auto"/>
        </w:rPr>
        <w:t xml:space="preserve">sistema único de registro de pacientes quemados en el Distrito </w:t>
      </w:r>
      <w:r w:rsidRPr="004C38BE">
        <w:rPr>
          <w:b/>
          <w:bCs/>
          <w:iCs/>
          <w:color w:val="auto"/>
        </w:rPr>
        <w:t xml:space="preserve">como </w:t>
      </w:r>
      <w:r w:rsidRPr="004C38BE">
        <w:rPr>
          <w:color w:val="auto"/>
        </w:rPr>
        <w:t>instrumento para la generación de información que permita la identificación de factores que faciliten la formulación, ejecución y monitoreo de programas y políticas públicas que permitan prevenir y minimizar la ocurrencia de quemaduras en</w:t>
      </w:r>
      <w:r w:rsidR="00A4542C">
        <w:rPr>
          <w:color w:val="auto"/>
        </w:rPr>
        <w:t xml:space="preserve"> </w:t>
      </w:r>
      <w:r w:rsidR="00A4542C" w:rsidRPr="00B31CFC">
        <w:rPr>
          <w:b/>
          <w:bCs/>
          <w:i/>
          <w:iCs/>
          <w:color w:val="auto"/>
          <w:u w:val="single"/>
        </w:rPr>
        <w:t>épocas especiales por festividades</w:t>
      </w:r>
      <w:r w:rsidR="00A4542C" w:rsidRPr="00B31CFC">
        <w:rPr>
          <w:color w:val="auto"/>
        </w:rPr>
        <w:t>,</w:t>
      </w:r>
      <w:r w:rsidRPr="00B31CFC">
        <w:rPr>
          <w:color w:val="auto"/>
        </w:rPr>
        <w:t xml:space="preserve"> población en riesgo</w:t>
      </w:r>
      <w:r w:rsidR="00A4542C" w:rsidRPr="00B31CFC">
        <w:rPr>
          <w:color w:val="auto"/>
        </w:rPr>
        <w:t xml:space="preserve">, </w:t>
      </w:r>
      <w:r w:rsidR="00A4542C" w:rsidRPr="00B31CFC">
        <w:rPr>
          <w:b/>
          <w:bCs/>
          <w:i/>
          <w:iCs/>
          <w:color w:val="auto"/>
          <w:u w:val="single"/>
        </w:rPr>
        <w:t>en especial niñas, niños y adolescente</w:t>
      </w:r>
      <w:r w:rsidR="00A4542C" w:rsidRPr="00B31CFC">
        <w:rPr>
          <w:i/>
          <w:iCs/>
          <w:color w:val="auto"/>
          <w:u w:val="single"/>
        </w:rPr>
        <w:t xml:space="preserve"> </w:t>
      </w:r>
      <w:r w:rsidRPr="004C38BE">
        <w:rPr>
          <w:color w:val="auto"/>
        </w:rPr>
        <w:t>o vulnerable</w:t>
      </w:r>
      <w:r>
        <w:rPr>
          <w:color w:val="auto"/>
        </w:rPr>
        <w:t>, así como la atención en la fase intrahospitalaria, ambulatoria y de recuperación de pacientes quemados</w:t>
      </w:r>
      <w:r w:rsidRPr="004C38BE">
        <w:rPr>
          <w:color w:val="auto"/>
        </w:rPr>
        <w:t>.</w:t>
      </w:r>
    </w:p>
    <w:p w14:paraId="58C88CB4" w14:textId="77777777" w:rsidR="00846130" w:rsidRDefault="00846130" w:rsidP="00846130">
      <w:pPr>
        <w:spacing w:before="100" w:beforeAutospacing="1" w:after="100" w:afterAutospacing="1"/>
        <w:jc w:val="both"/>
      </w:pPr>
      <w:r w:rsidRPr="004A6BC8">
        <w:rPr>
          <w:rStyle w:val="hgkelc"/>
          <w:b/>
        </w:rPr>
        <w:t xml:space="preserve">ARTICULO SEGUNDO: </w:t>
      </w:r>
      <w:r w:rsidRPr="004A6BC8">
        <w:t>Créese un artículo nuevo, el cual quedará de la siguiente manera:</w:t>
      </w:r>
    </w:p>
    <w:p w14:paraId="20CAB17B" w14:textId="77777777" w:rsidR="00846130" w:rsidRDefault="00846130" w:rsidP="00846130">
      <w:pPr>
        <w:spacing w:before="100" w:beforeAutospacing="1" w:after="100" w:afterAutospacing="1"/>
        <w:ind w:left="708"/>
        <w:jc w:val="both"/>
        <w:rPr>
          <w:color w:val="auto"/>
        </w:rPr>
      </w:pPr>
      <w:r w:rsidRPr="004A6BC8">
        <w:rPr>
          <w:b/>
        </w:rPr>
        <w:t>Artículo</w:t>
      </w:r>
      <w:r>
        <w:rPr>
          <w:b/>
        </w:rPr>
        <w:t xml:space="preserve"> 7. </w:t>
      </w:r>
      <w:r w:rsidRPr="009227C7">
        <w:rPr>
          <w:rStyle w:val="hgkelc"/>
        </w:rPr>
        <w:t>I</w:t>
      </w:r>
      <w:r w:rsidRPr="009227C7">
        <w:rPr>
          <w:color w:val="auto"/>
        </w:rPr>
        <w:t xml:space="preserve">ncorporar dentro de la información estadística del Observatorio de Salud de Bogotá Salud Data un módulo que incluya los factores sociodemográficos, agentes causales y demás variables que permitan </w:t>
      </w:r>
      <w:r>
        <w:rPr>
          <w:bCs/>
          <w:color w:val="auto"/>
        </w:rPr>
        <w:t>i</w:t>
      </w:r>
      <w:r w:rsidRPr="009227C7">
        <w:rPr>
          <w:bCs/>
          <w:color w:val="auto"/>
        </w:rPr>
        <w:t>d</w:t>
      </w:r>
      <w:r>
        <w:rPr>
          <w:bCs/>
          <w:color w:val="auto"/>
        </w:rPr>
        <w:t xml:space="preserve">entificar patrones y tendencias, así como </w:t>
      </w:r>
      <w:r w:rsidRPr="009227C7">
        <w:rPr>
          <w:bCs/>
          <w:color w:val="auto"/>
        </w:rPr>
        <w:t>la carga de la</w:t>
      </w:r>
      <w:r>
        <w:rPr>
          <w:bCs/>
          <w:color w:val="auto"/>
        </w:rPr>
        <w:t>s lesiones en personas quemadas</w:t>
      </w:r>
      <w:r w:rsidRPr="009227C7">
        <w:rPr>
          <w:b/>
          <w:bCs/>
          <w:color w:val="auto"/>
        </w:rPr>
        <w:t xml:space="preserve"> </w:t>
      </w:r>
      <w:r w:rsidRPr="009227C7">
        <w:rPr>
          <w:color w:val="auto"/>
        </w:rPr>
        <w:t>para priorizar recursos y esfuerzos de salud pública. </w:t>
      </w:r>
    </w:p>
    <w:p w14:paraId="567CAC0B" w14:textId="6BF5A4D5" w:rsidR="00A21C34" w:rsidRDefault="00846130" w:rsidP="00846130">
      <w:pPr>
        <w:spacing w:before="100" w:beforeAutospacing="1" w:after="100" w:afterAutospacing="1"/>
        <w:jc w:val="both"/>
      </w:pPr>
      <w:r w:rsidRPr="000054EA">
        <w:rPr>
          <w:rStyle w:val="hgkelc"/>
          <w:b/>
        </w:rPr>
        <w:t xml:space="preserve">ARTICULO TERCERO: </w:t>
      </w:r>
      <w:r w:rsidRPr="000054EA">
        <w:rPr>
          <w:b/>
        </w:rPr>
        <w:t>VIGENCIA</w:t>
      </w:r>
      <w:r w:rsidRPr="000054EA">
        <w:t>. El presente Acuerdo rige a partir de la fecha de su publicación.</w:t>
      </w:r>
      <w:r w:rsidRPr="0022318B">
        <w:t xml:space="preserve"> </w:t>
      </w:r>
    </w:p>
    <w:p w14:paraId="23209D7A" w14:textId="0E27ED38" w:rsidR="005B42BA" w:rsidRPr="00846130" w:rsidRDefault="00846130" w:rsidP="00846130">
      <w:pPr>
        <w:spacing w:before="100" w:beforeAutospacing="1" w:after="100" w:afterAutospacing="1"/>
        <w:jc w:val="center"/>
        <w:rPr>
          <w:b/>
          <w:bCs/>
          <w:i/>
          <w:iCs/>
          <w:color w:val="auto"/>
        </w:rPr>
      </w:pPr>
      <w:r w:rsidRPr="00846130">
        <w:rPr>
          <w:b/>
          <w:bCs/>
          <w:i/>
          <w:iCs/>
          <w:color w:val="auto"/>
          <w:shd w:val="clear" w:color="auto" w:fill="FFFFFF"/>
        </w:rPr>
        <w:t>PUBLÍQUESE Y CÚMPLASE</w:t>
      </w:r>
    </w:p>
    <w:sectPr w:rsidR="005B42BA" w:rsidRPr="00846130">
      <w:headerReference w:type="default" r:id="rId25"/>
      <w:footerReference w:type="even" r:id="rId26"/>
      <w:footerReference w:type="default" r:id="rId27"/>
      <w:pgSz w:w="12242" w:h="15842"/>
      <w:pgMar w:top="1701" w:right="1701" w:bottom="1701" w:left="1701" w:header="1134" w:footer="85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7C2AD" w14:textId="77777777" w:rsidR="00DC098E" w:rsidRDefault="00DC098E">
      <w:r>
        <w:separator/>
      </w:r>
    </w:p>
  </w:endnote>
  <w:endnote w:type="continuationSeparator" w:id="0">
    <w:p w14:paraId="03617D2F" w14:textId="77777777" w:rsidR="00DC098E" w:rsidRDefault="00DC0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D8C30" w14:textId="77777777" w:rsidR="00CD2C3D" w:rsidRDefault="000A4225">
    <w:pPr>
      <w:pBdr>
        <w:top w:val="nil"/>
        <w:left w:val="nil"/>
        <w:bottom w:val="nil"/>
        <w:right w:val="nil"/>
        <w:between w:val="nil"/>
      </w:pBdr>
      <w:tabs>
        <w:tab w:val="center" w:pos="4252"/>
        <w:tab w:val="right" w:pos="8504"/>
      </w:tabs>
      <w:jc w:val="right"/>
    </w:pPr>
    <w:r>
      <w:fldChar w:fldCharType="begin"/>
    </w:r>
    <w:r>
      <w:instrText>PAGE</w:instrText>
    </w:r>
    <w:r>
      <w:fldChar w:fldCharType="end"/>
    </w:r>
  </w:p>
  <w:p w14:paraId="5817D511" w14:textId="77777777" w:rsidR="00CD2C3D" w:rsidRDefault="00CD2C3D">
    <w:pPr>
      <w:pBdr>
        <w:top w:val="nil"/>
        <w:left w:val="nil"/>
        <w:bottom w:val="nil"/>
        <w:right w:val="nil"/>
        <w:between w:val="nil"/>
      </w:pBdr>
      <w:tabs>
        <w:tab w:val="center" w:pos="4252"/>
        <w:tab w:val="right" w:pos="8504"/>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B0B30" w14:textId="77777777" w:rsidR="00CD2C3D" w:rsidRDefault="00CD2C3D">
    <w:pPr>
      <w:jc w:val="both"/>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4A112" w14:textId="77777777" w:rsidR="00DC098E" w:rsidRDefault="00DC098E">
      <w:r>
        <w:separator/>
      </w:r>
    </w:p>
  </w:footnote>
  <w:footnote w:type="continuationSeparator" w:id="0">
    <w:p w14:paraId="5CA869FF" w14:textId="77777777" w:rsidR="00DC098E" w:rsidRDefault="00DC098E">
      <w:r>
        <w:continuationSeparator/>
      </w:r>
    </w:p>
  </w:footnote>
  <w:footnote w:id="1">
    <w:p w14:paraId="339BE319" w14:textId="77777777" w:rsidR="00E20A9B" w:rsidRPr="00C810BC" w:rsidRDefault="00E20A9B" w:rsidP="00E20A9B">
      <w:pPr>
        <w:pStyle w:val="Textonotapie"/>
        <w:rPr>
          <w:lang w:val="es-CO"/>
        </w:rPr>
      </w:pPr>
      <w:r>
        <w:rPr>
          <w:rStyle w:val="Refdenotaalpie"/>
        </w:rPr>
        <w:footnoteRef/>
      </w:r>
      <w:r>
        <w:t xml:space="preserve"> </w:t>
      </w:r>
      <w:hyperlink r:id="rId1" w:history="1">
        <w:r w:rsidRPr="00C810BC">
          <w:rPr>
            <w:rStyle w:val="Hipervnculo"/>
          </w:rPr>
          <w:t>https://www.who.int/es/news-room/fact-sheets/detail/burns</w:t>
        </w:r>
      </w:hyperlink>
      <w:r>
        <w:t xml:space="preserve"> </w:t>
      </w:r>
    </w:p>
  </w:footnote>
  <w:footnote w:id="2">
    <w:p w14:paraId="7E6407D3" w14:textId="77777777" w:rsidR="00E20A9B" w:rsidRPr="002B4CB5" w:rsidRDefault="00E20A9B" w:rsidP="00E20A9B">
      <w:pPr>
        <w:pStyle w:val="Textonotapie"/>
        <w:rPr>
          <w:lang w:val="es-CO"/>
        </w:rPr>
      </w:pPr>
      <w:r>
        <w:rPr>
          <w:rStyle w:val="Refdenotaalpie"/>
        </w:rPr>
        <w:footnoteRef/>
      </w:r>
      <w:r>
        <w:t xml:space="preserve"> </w:t>
      </w:r>
      <w:hyperlink r:id="rId2" w:history="1">
        <w:r w:rsidRPr="008C14D2">
          <w:rPr>
            <w:rStyle w:val="Hipervnculo"/>
          </w:rPr>
          <w:t>https://www.infobae.com/colombia/2024/04/18/ataques-con-quimicos-en-bogota-kennedy-y-bosa-son-las-localidades-donde-mas-casos-a-mujeres-se-registran/</w:t>
        </w:r>
      </w:hyperlink>
      <w:r>
        <w:t xml:space="preserve"> </w:t>
      </w:r>
    </w:p>
  </w:footnote>
  <w:footnote w:id="3">
    <w:p w14:paraId="6D954FA1" w14:textId="09CC6210" w:rsidR="00FC7690" w:rsidRPr="00FC7690" w:rsidRDefault="00FC7690">
      <w:pPr>
        <w:pStyle w:val="Textonotapie"/>
        <w:rPr>
          <w:lang w:val="es-CO"/>
        </w:rPr>
      </w:pPr>
      <w:r>
        <w:rPr>
          <w:rStyle w:val="Refdenotaalpie"/>
        </w:rPr>
        <w:footnoteRef/>
      </w:r>
      <w:r>
        <w:t xml:space="preserve"> </w:t>
      </w:r>
      <w:r>
        <w:rPr>
          <w:lang w:val="es-CO"/>
        </w:rPr>
        <w:t>Sentencia Tutela 654 del 2 de septiembre de 1999 M.P Fabio Morón Díaz</w:t>
      </w:r>
    </w:p>
  </w:footnote>
  <w:footnote w:id="4">
    <w:p w14:paraId="4E925A46" w14:textId="3A02842C" w:rsidR="00B31CFC" w:rsidRPr="00B31CFC" w:rsidRDefault="00B31CFC">
      <w:pPr>
        <w:pStyle w:val="Textonotapie"/>
        <w:rPr>
          <w:lang w:val="es-ES_tradnl"/>
        </w:rPr>
      </w:pPr>
      <w:r>
        <w:rPr>
          <w:rStyle w:val="Refdenotaalpie"/>
        </w:rPr>
        <w:footnoteRef/>
      </w:r>
      <w:r>
        <w:t xml:space="preserve"> La República. (2023, diciembre 28). </w:t>
      </w:r>
      <w:r>
        <w:rPr>
          <w:rStyle w:val="nfasis"/>
        </w:rPr>
        <w:t>Los casos registrados de quemados por pólvora en el país ascienden hasta 731 casos</w:t>
      </w:r>
      <w:r>
        <w:t xml:space="preserve">. </w:t>
      </w:r>
      <w:hyperlink r:id="rId3" w:tgtFrame="_new" w:history="1">
        <w:r>
          <w:rPr>
            <w:rStyle w:val="Hipervnculo"/>
          </w:rPr>
          <w:t>https://www.larepublica.co/economia/los-casos-registrados-de-quemados-por-polvora-en-el-pais-asciende-hasta-731-casos-4029169</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EC6E9" w14:textId="77777777" w:rsidR="00CD2C3D" w:rsidRDefault="00CD2C3D">
    <w:pPr>
      <w:widowControl w:val="0"/>
      <w:pBdr>
        <w:top w:val="nil"/>
        <w:left w:val="nil"/>
        <w:bottom w:val="nil"/>
        <w:right w:val="nil"/>
        <w:between w:val="nil"/>
      </w:pBdr>
      <w:spacing w:line="276" w:lineRule="auto"/>
      <w:rPr>
        <w:sz w:val="20"/>
        <w:szCs w:val="20"/>
      </w:rPr>
    </w:pPr>
  </w:p>
  <w:tbl>
    <w:tblPr>
      <w:tblStyle w:val="ad"/>
      <w:tblW w:w="8830" w:type="dxa"/>
      <w:tblInd w:w="0" w:type="dxa"/>
      <w:tblLayout w:type="fixed"/>
      <w:tblLook w:val="0000" w:firstRow="0" w:lastRow="0" w:firstColumn="0" w:lastColumn="0" w:noHBand="0" w:noVBand="0"/>
    </w:tblPr>
    <w:tblGrid>
      <w:gridCol w:w="2361"/>
      <w:gridCol w:w="4235"/>
      <w:gridCol w:w="2234"/>
    </w:tblGrid>
    <w:tr w:rsidR="00CD2C3D" w14:paraId="2126FADD" w14:textId="77777777">
      <w:trPr>
        <w:trHeight w:val="454"/>
      </w:trPr>
      <w:tc>
        <w:tcPr>
          <w:tcW w:w="2361" w:type="dxa"/>
          <w:vMerge w:val="restart"/>
          <w:tcBorders>
            <w:top w:val="single" w:sz="4" w:space="0" w:color="000000"/>
            <w:left w:val="single" w:sz="4" w:space="0" w:color="000000"/>
            <w:right w:val="single" w:sz="4" w:space="0" w:color="000000"/>
          </w:tcBorders>
          <w:vAlign w:val="center"/>
        </w:tcPr>
        <w:p w14:paraId="12A1B389" w14:textId="77777777" w:rsidR="00CD2C3D" w:rsidRDefault="00CD2C3D">
          <w:pPr>
            <w:jc w:val="center"/>
            <w:rPr>
              <w:sz w:val="16"/>
              <w:szCs w:val="16"/>
            </w:rPr>
          </w:pPr>
        </w:p>
      </w:tc>
      <w:tc>
        <w:tcPr>
          <w:tcW w:w="4235" w:type="dxa"/>
          <w:tcBorders>
            <w:top w:val="single" w:sz="4" w:space="0" w:color="000000"/>
            <w:left w:val="nil"/>
            <w:bottom w:val="single" w:sz="4" w:space="0" w:color="000000"/>
            <w:right w:val="single" w:sz="4" w:space="0" w:color="000000"/>
          </w:tcBorders>
          <w:vAlign w:val="center"/>
        </w:tcPr>
        <w:p w14:paraId="60714EE8" w14:textId="77777777" w:rsidR="00CD2C3D" w:rsidRDefault="000A4225">
          <w:pPr>
            <w:jc w:val="center"/>
            <w:rPr>
              <w:sz w:val="18"/>
              <w:szCs w:val="18"/>
            </w:rPr>
          </w:pPr>
          <w:r>
            <w:rPr>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14:paraId="75ED06B3" w14:textId="77777777" w:rsidR="00CD2C3D" w:rsidRDefault="000A4225">
          <w:pPr>
            <w:rPr>
              <w:sz w:val="16"/>
              <w:szCs w:val="16"/>
            </w:rPr>
          </w:pPr>
          <w:r>
            <w:rPr>
              <w:sz w:val="16"/>
              <w:szCs w:val="16"/>
            </w:rPr>
            <w:t>CÓDIGO</w:t>
          </w:r>
          <w:r>
            <w:rPr>
              <w:color w:val="3366FF"/>
              <w:sz w:val="16"/>
              <w:szCs w:val="16"/>
            </w:rPr>
            <w:t xml:space="preserve">: </w:t>
          </w:r>
          <w:r>
            <w:rPr>
              <w:sz w:val="16"/>
              <w:szCs w:val="16"/>
            </w:rPr>
            <w:t>GNV-FO-003</w:t>
          </w:r>
        </w:p>
      </w:tc>
    </w:tr>
    <w:tr w:rsidR="00CD2C3D" w14:paraId="7C238A7F" w14:textId="77777777">
      <w:trPr>
        <w:trHeight w:val="454"/>
      </w:trPr>
      <w:tc>
        <w:tcPr>
          <w:tcW w:w="2361" w:type="dxa"/>
          <w:vMerge/>
          <w:tcBorders>
            <w:top w:val="single" w:sz="4" w:space="0" w:color="000000"/>
            <w:left w:val="single" w:sz="4" w:space="0" w:color="000000"/>
            <w:right w:val="single" w:sz="4" w:space="0" w:color="000000"/>
          </w:tcBorders>
          <w:vAlign w:val="center"/>
        </w:tcPr>
        <w:p w14:paraId="6F72B118" w14:textId="77777777" w:rsidR="00CD2C3D" w:rsidRDefault="00CD2C3D">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right w:val="single" w:sz="4" w:space="0" w:color="000000"/>
          </w:tcBorders>
          <w:vAlign w:val="center"/>
        </w:tcPr>
        <w:p w14:paraId="1E00EA7E" w14:textId="77777777" w:rsidR="00CD2C3D" w:rsidRDefault="000A4225">
          <w:pPr>
            <w:jc w:val="center"/>
            <w:rPr>
              <w:sz w:val="20"/>
              <w:szCs w:val="20"/>
            </w:rPr>
          </w:pPr>
          <w:r>
            <w:rPr>
              <w:sz w:val="20"/>
              <w:szCs w:val="20"/>
            </w:rPr>
            <w:t>PRESENTACIÓN PONENCIAS</w:t>
          </w:r>
        </w:p>
      </w:tc>
      <w:tc>
        <w:tcPr>
          <w:tcW w:w="2234" w:type="dxa"/>
          <w:tcBorders>
            <w:top w:val="single" w:sz="4" w:space="0" w:color="000000"/>
            <w:left w:val="nil"/>
            <w:bottom w:val="single" w:sz="4" w:space="0" w:color="000000"/>
            <w:right w:val="single" w:sz="4" w:space="0" w:color="000000"/>
          </w:tcBorders>
          <w:vAlign w:val="center"/>
        </w:tcPr>
        <w:p w14:paraId="2430B885" w14:textId="77777777" w:rsidR="00CD2C3D" w:rsidRDefault="000A4225">
          <w:pPr>
            <w:rPr>
              <w:sz w:val="16"/>
              <w:szCs w:val="16"/>
            </w:rPr>
          </w:pPr>
          <w:r>
            <w:rPr>
              <w:sz w:val="16"/>
              <w:szCs w:val="16"/>
            </w:rPr>
            <w:t>VERSIÓN:    01</w:t>
          </w:r>
        </w:p>
      </w:tc>
    </w:tr>
    <w:tr w:rsidR="00CD2C3D" w14:paraId="1A904F7A" w14:textId="77777777">
      <w:trPr>
        <w:trHeight w:val="454"/>
      </w:trPr>
      <w:tc>
        <w:tcPr>
          <w:tcW w:w="2361" w:type="dxa"/>
          <w:vMerge/>
          <w:tcBorders>
            <w:top w:val="single" w:sz="4" w:space="0" w:color="000000"/>
            <w:left w:val="single" w:sz="4" w:space="0" w:color="000000"/>
            <w:right w:val="single" w:sz="4" w:space="0" w:color="000000"/>
          </w:tcBorders>
          <w:vAlign w:val="center"/>
        </w:tcPr>
        <w:p w14:paraId="7A853593" w14:textId="77777777" w:rsidR="00CD2C3D" w:rsidRDefault="00CD2C3D">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nil"/>
            <w:right w:val="single" w:sz="4" w:space="0" w:color="000000"/>
          </w:tcBorders>
          <w:vAlign w:val="center"/>
        </w:tcPr>
        <w:p w14:paraId="636549F4" w14:textId="77777777" w:rsidR="00CD2C3D" w:rsidRDefault="00CD2C3D">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14:paraId="3FD2F1BA" w14:textId="77777777" w:rsidR="00CD2C3D" w:rsidRDefault="000A4225">
          <w:pPr>
            <w:rPr>
              <w:sz w:val="16"/>
              <w:szCs w:val="16"/>
            </w:rPr>
          </w:pPr>
          <w:r>
            <w:rPr>
              <w:sz w:val="16"/>
              <w:szCs w:val="16"/>
            </w:rPr>
            <w:t>FECHA: 14-Nov-2019</w:t>
          </w:r>
        </w:p>
      </w:tc>
    </w:tr>
  </w:tbl>
  <w:p w14:paraId="2D45CC2B" w14:textId="77777777" w:rsidR="00CD2C3D" w:rsidRDefault="000A4225">
    <w:pPr>
      <w:pBdr>
        <w:top w:val="nil"/>
        <w:left w:val="nil"/>
        <w:bottom w:val="nil"/>
        <w:right w:val="nil"/>
        <w:between w:val="nil"/>
      </w:pBdr>
      <w:tabs>
        <w:tab w:val="center" w:pos="4252"/>
        <w:tab w:val="right" w:pos="8504"/>
      </w:tabs>
    </w:pPr>
    <w:r>
      <w:rPr>
        <w:noProof/>
      </w:rPr>
      <w:drawing>
        <wp:anchor distT="0" distB="0" distL="0" distR="0" simplePos="0" relativeHeight="251658240" behindDoc="1" locked="0" layoutInCell="1" hidden="0" allowOverlap="1" wp14:anchorId="7985B378" wp14:editId="1942E8A6">
          <wp:simplePos x="0" y="0"/>
          <wp:positionH relativeFrom="column">
            <wp:posOffset>327025</wp:posOffset>
          </wp:positionH>
          <wp:positionV relativeFrom="paragraph">
            <wp:posOffset>-895341</wp:posOffset>
          </wp:positionV>
          <wp:extent cx="752475" cy="885825"/>
          <wp:effectExtent l="0" t="0" r="0" b="0"/>
          <wp:wrapNone/>
          <wp:docPr id="2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922510"/>
    <w:multiLevelType w:val="hybridMultilevel"/>
    <w:tmpl w:val="F3B2A6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B9370B4"/>
    <w:multiLevelType w:val="multilevel"/>
    <w:tmpl w:val="074EBE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6E06BD7"/>
    <w:multiLevelType w:val="hybridMultilevel"/>
    <w:tmpl w:val="A5EE25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60565FF"/>
    <w:multiLevelType w:val="multilevel"/>
    <w:tmpl w:val="8B40B4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67114D0"/>
    <w:multiLevelType w:val="hybridMultilevel"/>
    <w:tmpl w:val="9D7ACBA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CA759FD"/>
    <w:multiLevelType w:val="multilevel"/>
    <w:tmpl w:val="0A1638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51FA2476"/>
    <w:multiLevelType w:val="hybridMultilevel"/>
    <w:tmpl w:val="E2B6F4F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 w15:restartNumberingAfterBreak="0">
    <w:nsid w:val="54E10F57"/>
    <w:multiLevelType w:val="multilevel"/>
    <w:tmpl w:val="424AA3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59B07EF6"/>
    <w:multiLevelType w:val="multilevel"/>
    <w:tmpl w:val="F69ECA0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8886B78"/>
    <w:multiLevelType w:val="multilevel"/>
    <w:tmpl w:val="67F0FB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71C56DB5"/>
    <w:multiLevelType w:val="multilevel"/>
    <w:tmpl w:val="067622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7762459F"/>
    <w:multiLevelType w:val="hybridMultilevel"/>
    <w:tmpl w:val="6F768A42"/>
    <w:lvl w:ilvl="0" w:tplc="0C0A0001">
      <w:start w:val="1"/>
      <w:numFmt w:val="bullet"/>
      <w:lvlText w:val=""/>
      <w:lvlJc w:val="left"/>
      <w:pPr>
        <w:ind w:left="502" w:hanging="360"/>
      </w:pPr>
      <w:rPr>
        <w:rFonts w:ascii="Symbol" w:hAnsi="Symbol"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num w:numId="1">
    <w:abstractNumId w:val="3"/>
  </w:num>
  <w:num w:numId="2">
    <w:abstractNumId w:val="9"/>
  </w:num>
  <w:num w:numId="3">
    <w:abstractNumId w:val="8"/>
  </w:num>
  <w:num w:numId="4">
    <w:abstractNumId w:val="5"/>
  </w:num>
  <w:num w:numId="5">
    <w:abstractNumId w:val="10"/>
  </w:num>
  <w:num w:numId="6">
    <w:abstractNumId w:val="1"/>
  </w:num>
  <w:num w:numId="7">
    <w:abstractNumId w:val="7"/>
  </w:num>
  <w:num w:numId="8">
    <w:abstractNumId w:val="6"/>
  </w:num>
  <w:num w:numId="9">
    <w:abstractNumId w:val="2"/>
  </w:num>
  <w:num w:numId="10">
    <w:abstractNumId w:val="4"/>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2C3D"/>
    <w:rsid w:val="00006D82"/>
    <w:rsid w:val="000520FE"/>
    <w:rsid w:val="000A4225"/>
    <w:rsid w:val="000A55EE"/>
    <w:rsid w:val="0016148F"/>
    <w:rsid w:val="001D0F47"/>
    <w:rsid w:val="00266BC2"/>
    <w:rsid w:val="00383699"/>
    <w:rsid w:val="00394620"/>
    <w:rsid w:val="003D3FF3"/>
    <w:rsid w:val="003F1C58"/>
    <w:rsid w:val="00473DBF"/>
    <w:rsid w:val="00484D5D"/>
    <w:rsid w:val="00507E6A"/>
    <w:rsid w:val="00521D14"/>
    <w:rsid w:val="005723B9"/>
    <w:rsid w:val="005B42BA"/>
    <w:rsid w:val="005D7ADF"/>
    <w:rsid w:val="006C7CC4"/>
    <w:rsid w:val="006F130A"/>
    <w:rsid w:val="006F5F5D"/>
    <w:rsid w:val="00770C9A"/>
    <w:rsid w:val="00787B3C"/>
    <w:rsid w:val="007C2091"/>
    <w:rsid w:val="008278FB"/>
    <w:rsid w:val="00846130"/>
    <w:rsid w:val="00961FC0"/>
    <w:rsid w:val="0098000C"/>
    <w:rsid w:val="00987791"/>
    <w:rsid w:val="009A1569"/>
    <w:rsid w:val="009D7D15"/>
    <w:rsid w:val="00A21C34"/>
    <w:rsid w:val="00A26CAA"/>
    <w:rsid w:val="00A4542C"/>
    <w:rsid w:val="00B31CFC"/>
    <w:rsid w:val="00B449CC"/>
    <w:rsid w:val="00B9678C"/>
    <w:rsid w:val="00BF0C3F"/>
    <w:rsid w:val="00C31C6F"/>
    <w:rsid w:val="00CD2C3D"/>
    <w:rsid w:val="00DC098E"/>
    <w:rsid w:val="00E20A9B"/>
    <w:rsid w:val="00E25D4D"/>
    <w:rsid w:val="00F330E5"/>
    <w:rsid w:val="00F543A5"/>
    <w:rsid w:val="00FB6033"/>
    <w:rsid w:val="00FC546F"/>
    <w:rsid w:val="00FC7690"/>
    <w:rsid w:val="00FE6AF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7FF34"/>
  <w15:docId w15:val="{9C206E78-A169-9A4A-8981-6BCF5F042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4"/>
        <w:szCs w:val="24"/>
        <w:lang w:val="es-ES" w:eastAsia="es-ES_tradn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08CA"/>
    <w:rPr>
      <w:color w:val="000000"/>
    </w:rPr>
  </w:style>
  <w:style w:type="paragraph" w:styleId="Ttulo1">
    <w:name w:val="heading 1"/>
    <w:basedOn w:val="Normal"/>
    <w:next w:val="Normal"/>
    <w:link w:val="Ttulo1Car"/>
    <w:uiPriority w:val="9"/>
    <w:qFormat/>
    <w:rsid w:val="00AE7E3B"/>
    <w:pPr>
      <w:keepNext/>
      <w:jc w:val="center"/>
      <w:outlineLvl w:val="0"/>
    </w:pPr>
    <w:rPr>
      <w:rFonts w:ascii="Times New Roman" w:hAnsi="Times New Roman"/>
      <w:color w:val="auto"/>
      <w:lang w:val="es-MX"/>
    </w:rPr>
  </w:style>
  <w:style w:type="paragraph" w:styleId="Ttulo2">
    <w:name w:val="heading 2"/>
    <w:basedOn w:val="Normal"/>
    <w:next w:val="Normal"/>
    <w:link w:val="Ttulo2Car"/>
    <w:uiPriority w:val="9"/>
    <w:semiHidden/>
    <w:unhideWhenUsed/>
    <w:qFormat/>
    <w:rsid w:val="00AE7E3B"/>
    <w:pPr>
      <w:keepNext/>
      <w:outlineLvl w:val="1"/>
    </w:pPr>
    <w:rPr>
      <w:rFonts w:ascii="Times New Roman" w:hAnsi="Times New Roman"/>
      <w:color w:val="auto"/>
      <w:lang w:val="es-MX"/>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link w:val="Ttulo4Car"/>
    <w:uiPriority w:val="9"/>
    <w:semiHidden/>
    <w:unhideWhenUsed/>
    <w:qFormat/>
    <w:rsid w:val="00BD4F10"/>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
    <w:semiHidden/>
    <w:unhideWhenUsed/>
    <w:qFormat/>
    <w:rsid w:val="00776D41"/>
    <w:pPr>
      <w:keepNext/>
      <w:keepLines/>
      <w:spacing w:before="200"/>
      <w:outlineLvl w:val="4"/>
    </w:pPr>
    <w:rPr>
      <w:rFonts w:ascii="Cambria" w:hAnsi="Cambria"/>
      <w:color w:val="243F60"/>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character" w:customStyle="1" w:styleId="Ttulo1Car">
    <w:name w:val="Título 1 Car"/>
    <w:basedOn w:val="Fuentedeprrafopredeter"/>
    <w:link w:val="Ttulo1"/>
    <w:uiPriority w:val="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uiPriority w:val="99"/>
    <w:rsid w:val="00AE7E3B"/>
    <w:pPr>
      <w:tabs>
        <w:tab w:val="center" w:pos="4252"/>
        <w:tab w:val="right" w:pos="8504"/>
      </w:tabs>
    </w:pPr>
  </w:style>
  <w:style w:type="character" w:customStyle="1" w:styleId="PiedepginaCar">
    <w:name w:val="Pie de página Car"/>
    <w:basedOn w:val="Fuentedeprrafopredeter"/>
    <w:link w:val="Piedepgina"/>
    <w:uiPriority w:val="99"/>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5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color w:val="auto"/>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aliases w:val="List1,LISTA,Párrafo de lista1,Párrafo de lista2,Ha,Resume Title,Bullet List,FooterText,numbered,List Paragraph1,Paragraphe de liste1,lp1,HOJA,Colorful List Accent 1,Colorful List - Accent 11,titulo 3,Colorful List - Accent 111,Bullets"/>
    <w:basedOn w:val="Normal"/>
    <w:link w:val="PrrafodelistaCar"/>
    <w:uiPriority w:val="34"/>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paragraph" w:styleId="Sinespaciado">
    <w:name w:val="No Spacing"/>
    <w:uiPriority w:val="1"/>
    <w:qFormat/>
    <w:rsid w:val="00F158D8"/>
    <w:rPr>
      <w:rFonts w:asciiTheme="minorHAnsi" w:eastAsiaTheme="minorHAnsi" w:hAnsiTheme="minorHAnsi" w:cstheme="minorBidi"/>
      <w:sz w:val="22"/>
      <w:szCs w:val="22"/>
      <w:lang w:val="es-CO"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2">
    <w:name w:val="2"/>
    <w:basedOn w:val="TableNormal6"/>
    <w:tblPr>
      <w:tblStyleRowBandSize w:val="1"/>
      <w:tblStyleColBandSize w:val="1"/>
      <w:tblCellMar>
        <w:left w:w="108" w:type="dxa"/>
        <w:right w:w="108" w:type="dxa"/>
      </w:tblCellMar>
    </w:tblPr>
  </w:style>
  <w:style w:type="table" w:customStyle="1" w:styleId="1">
    <w:name w:val="1"/>
    <w:basedOn w:val="TableNormal6"/>
    <w:tblPr>
      <w:tblStyleRowBandSize w:val="1"/>
      <w:tblStyleColBandSize w:val="1"/>
      <w:tblCellMar>
        <w:left w:w="70" w:type="dxa"/>
        <w:right w:w="70" w:type="dxa"/>
      </w:tblCellMar>
    </w:tblPr>
  </w:style>
  <w:style w:type="paragraph" w:styleId="Textonotaalfinal">
    <w:name w:val="endnote text"/>
    <w:basedOn w:val="Normal"/>
    <w:link w:val="TextonotaalfinalCar"/>
    <w:uiPriority w:val="99"/>
    <w:semiHidden/>
    <w:unhideWhenUsed/>
    <w:rsid w:val="000E2CA3"/>
    <w:rPr>
      <w:sz w:val="20"/>
      <w:szCs w:val="20"/>
    </w:rPr>
  </w:style>
  <w:style w:type="character" w:customStyle="1" w:styleId="TextonotaalfinalCar">
    <w:name w:val="Texto nota al final Car"/>
    <w:basedOn w:val="Fuentedeprrafopredeter"/>
    <w:link w:val="Textonotaalfinal"/>
    <w:uiPriority w:val="99"/>
    <w:semiHidden/>
    <w:rsid w:val="000E2CA3"/>
    <w:rPr>
      <w:color w:val="000000"/>
      <w:sz w:val="20"/>
      <w:szCs w:val="20"/>
    </w:rPr>
  </w:style>
  <w:style w:type="character" w:styleId="Refdenotaalfinal">
    <w:name w:val="endnote reference"/>
    <w:basedOn w:val="Fuentedeprrafopredeter"/>
    <w:uiPriority w:val="99"/>
    <w:semiHidden/>
    <w:unhideWhenUsed/>
    <w:rsid w:val="000E2CA3"/>
    <w:rPr>
      <w:vertAlign w:val="superscript"/>
    </w:rPr>
  </w:style>
  <w:style w:type="paragraph" w:styleId="Textonotapie">
    <w:name w:val="footnote text"/>
    <w:basedOn w:val="Normal"/>
    <w:link w:val="TextonotapieCar"/>
    <w:uiPriority w:val="99"/>
    <w:semiHidden/>
    <w:unhideWhenUsed/>
    <w:rsid w:val="00625A24"/>
    <w:rPr>
      <w:sz w:val="20"/>
      <w:szCs w:val="20"/>
    </w:rPr>
  </w:style>
  <w:style w:type="character" w:customStyle="1" w:styleId="TextonotapieCar">
    <w:name w:val="Texto nota pie Car"/>
    <w:basedOn w:val="Fuentedeprrafopredeter"/>
    <w:link w:val="Textonotapie"/>
    <w:uiPriority w:val="99"/>
    <w:semiHidden/>
    <w:rsid w:val="00625A24"/>
    <w:rPr>
      <w:color w:val="000000"/>
      <w:sz w:val="20"/>
      <w:szCs w:val="20"/>
    </w:rPr>
  </w:style>
  <w:style w:type="character" w:styleId="Refdenotaalpie">
    <w:name w:val="footnote reference"/>
    <w:basedOn w:val="Fuentedeprrafopredeter"/>
    <w:uiPriority w:val="99"/>
    <w:semiHidden/>
    <w:unhideWhenUsed/>
    <w:rsid w:val="00625A24"/>
    <w:rPr>
      <w:vertAlign w:val="superscript"/>
    </w:rPr>
  </w:style>
  <w:style w:type="paragraph" w:styleId="Bibliografa">
    <w:name w:val="Bibliography"/>
    <w:basedOn w:val="Normal"/>
    <w:next w:val="Normal"/>
    <w:uiPriority w:val="37"/>
    <w:unhideWhenUsed/>
    <w:rsid w:val="0064016C"/>
  </w:style>
  <w:style w:type="table" w:customStyle="1" w:styleId="a">
    <w:basedOn w:val="TableNormal6"/>
    <w:tblPr>
      <w:tblStyleRowBandSize w:val="1"/>
      <w:tblStyleColBandSize w:val="1"/>
      <w:tblCellMar>
        <w:left w:w="108" w:type="dxa"/>
        <w:right w:w="108" w:type="dxa"/>
      </w:tblCellMar>
    </w:tblPr>
  </w:style>
  <w:style w:type="table" w:customStyle="1" w:styleId="a0">
    <w:basedOn w:val="TableNormal6"/>
    <w:tblPr>
      <w:tblStyleRowBandSize w:val="1"/>
      <w:tblStyleColBandSize w:val="1"/>
      <w:tblCellMar>
        <w:left w:w="70" w:type="dxa"/>
        <w:right w:w="70" w:type="dxa"/>
      </w:tblCellMar>
    </w:tblPr>
  </w:style>
  <w:style w:type="table" w:customStyle="1" w:styleId="a1">
    <w:basedOn w:val="TableNormal6"/>
    <w:tblPr>
      <w:tblStyleRowBandSize w:val="1"/>
      <w:tblStyleColBandSize w:val="1"/>
      <w:tblCellMar>
        <w:left w:w="108" w:type="dxa"/>
        <w:right w:w="108" w:type="dxa"/>
      </w:tblCellMar>
    </w:tblPr>
  </w:style>
  <w:style w:type="table" w:customStyle="1" w:styleId="a2">
    <w:basedOn w:val="TableNormal6"/>
    <w:tblPr>
      <w:tblStyleRowBandSize w:val="1"/>
      <w:tblStyleColBandSize w:val="1"/>
      <w:tblCellMar>
        <w:top w:w="100" w:type="dxa"/>
        <w:left w:w="100" w:type="dxa"/>
        <w:bottom w:w="100" w:type="dxa"/>
        <w:right w:w="100" w:type="dxa"/>
      </w:tblCellMar>
    </w:tblPr>
  </w:style>
  <w:style w:type="table" w:customStyle="1" w:styleId="a3">
    <w:basedOn w:val="TableNormal6"/>
    <w:tblPr>
      <w:tblStyleRowBandSize w:val="1"/>
      <w:tblStyleColBandSize w:val="1"/>
      <w:tblCellMar>
        <w:left w:w="70" w:type="dxa"/>
        <w:right w:w="70" w:type="dxa"/>
      </w:tblCellMar>
    </w:tblPr>
  </w:style>
  <w:style w:type="table" w:customStyle="1" w:styleId="a4">
    <w:basedOn w:val="TableNormal6"/>
    <w:tblPr>
      <w:tblStyleRowBandSize w:val="1"/>
      <w:tblStyleColBandSize w:val="1"/>
      <w:tblCellMar>
        <w:top w:w="100" w:type="dxa"/>
        <w:left w:w="100" w:type="dxa"/>
        <w:bottom w:w="100" w:type="dxa"/>
        <w:right w:w="100" w:type="dxa"/>
      </w:tblCellMar>
    </w:tblPr>
  </w:style>
  <w:style w:type="table" w:customStyle="1" w:styleId="a5">
    <w:basedOn w:val="TableNormal6"/>
    <w:tblPr>
      <w:tblStyleRowBandSize w:val="1"/>
      <w:tblStyleColBandSize w:val="1"/>
      <w:tblCellMar>
        <w:left w:w="70" w:type="dxa"/>
        <w:right w:w="70" w:type="dxa"/>
      </w:tblCellMar>
    </w:tblPr>
  </w:style>
  <w:style w:type="table" w:customStyle="1" w:styleId="a6">
    <w:basedOn w:val="TableNormal3"/>
    <w:tblPr>
      <w:tblStyleRowBandSize w:val="1"/>
      <w:tblStyleColBandSize w:val="1"/>
      <w:tblCellMar>
        <w:top w:w="100" w:type="dxa"/>
        <w:left w:w="100" w:type="dxa"/>
        <w:bottom w:w="100" w:type="dxa"/>
        <w:right w:w="100" w:type="dxa"/>
      </w:tblCellMar>
    </w:tblPr>
  </w:style>
  <w:style w:type="table" w:customStyle="1" w:styleId="a7">
    <w:basedOn w:val="TableNormal3"/>
    <w:tblPr>
      <w:tblStyleRowBandSize w:val="1"/>
      <w:tblStyleColBandSize w:val="1"/>
      <w:tblCellMar>
        <w:left w:w="70" w:type="dxa"/>
        <w:right w:w="70" w:type="dxa"/>
      </w:tblCellMar>
    </w:tblPr>
  </w:style>
  <w:style w:type="table" w:customStyle="1" w:styleId="a8">
    <w:basedOn w:val="TableNormal2"/>
    <w:tblPr>
      <w:tblStyleRowBandSize w:val="1"/>
      <w:tblStyleColBandSize w:val="1"/>
      <w:tblCellMar>
        <w:top w:w="100" w:type="dxa"/>
        <w:left w:w="100" w:type="dxa"/>
        <w:bottom w:w="100" w:type="dxa"/>
        <w:right w:w="100" w:type="dxa"/>
      </w:tblCellMar>
    </w:tblPr>
  </w:style>
  <w:style w:type="table" w:customStyle="1" w:styleId="a9">
    <w:basedOn w:val="TableNormal2"/>
    <w:tblPr>
      <w:tblStyleRowBandSize w:val="1"/>
      <w:tblStyleColBandSize w:val="1"/>
      <w:tblCellMar>
        <w:left w:w="70" w:type="dxa"/>
        <w:right w:w="70" w:type="dxa"/>
      </w:tblCellMar>
    </w:tblPr>
  </w:style>
  <w:style w:type="table" w:customStyle="1" w:styleId="aa">
    <w:basedOn w:val="TableNormal2"/>
    <w:tblPr>
      <w:tblStyleRowBandSize w:val="1"/>
      <w:tblStyleColBandSize w:val="1"/>
      <w:tblCellMar>
        <w:top w:w="100" w:type="dxa"/>
        <w:left w:w="100" w:type="dxa"/>
        <w:bottom w:w="100" w:type="dxa"/>
        <w:right w:w="100" w:type="dxa"/>
      </w:tblCellMar>
    </w:tblPr>
  </w:style>
  <w:style w:type="table" w:customStyle="1" w:styleId="ab">
    <w:basedOn w:val="TableNormal2"/>
    <w:tblPr>
      <w:tblStyleRowBandSize w:val="1"/>
      <w:tblStyleColBandSize w:val="1"/>
      <w:tblCellMar>
        <w:left w:w="70" w:type="dxa"/>
        <w:right w:w="70" w:type="dxa"/>
      </w:tblCellMar>
    </w:tblPr>
  </w:style>
  <w:style w:type="table" w:customStyle="1" w:styleId="ac">
    <w:basedOn w:val="TableNormal2"/>
    <w:tblPr>
      <w:tblStyleRowBandSize w:val="1"/>
      <w:tblStyleColBandSize w:val="1"/>
      <w:tblCellMar>
        <w:top w:w="100" w:type="dxa"/>
        <w:left w:w="100" w:type="dxa"/>
        <w:bottom w:w="100" w:type="dxa"/>
        <w:right w:w="100" w:type="dxa"/>
      </w:tblCellMar>
    </w:tblPr>
  </w:style>
  <w:style w:type="table" w:customStyle="1" w:styleId="ad">
    <w:basedOn w:val="TableNormal2"/>
    <w:tblPr>
      <w:tblStyleRowBandSize w:val="1"/>
      <w:tblStyleColBandSize w:val="1"/>
      <w:tblCellMar>
        <w:left w:w="70" w:type="dxa"/>
        <w:right w:w="70" w:type="dxa"/>
      </w:tblCellMar>
    </w:tblPr>
  </w:style>
  <w:style w:type="paragraph" w:styleId="NormalWeb">
    <w:name w:val="Normal (Web)"/>
    <w:basedOn w:val="Normal"/>
    <w:uiPriority w:val="99"/>
    <w:unhideWhenUsed/>
    <w:rsid w:val="00E20A9B"/>
    <w:pPr>
      <w:spacing w:before="100" w:beforeAutospacing="1" w:after="100" w:afterAutospacing="1"/>
    </w:pPr>
    <w:rPr>
      <w:rFonts w:ascii="Times New Roman" w:eastAsia="Times New Roman" w:hAnsi="Times New Roman" w:cs="Times New Roman"/>
      <w:color w:val="auto"/>
      <w:lang w:val="es-CO" w:eastAsia="es-CO"/>
    </w:rPr>
  </w:style>
  <w:style w:type="paragraph" w:customStyle="1" w:styleId="paragraph">
    <w:name w:val="paragraph"/>
    <w:basedOn w:val="Normal"/>
    <w:rsid w:val="00E20A9B"/>
    <w:pPr>
      <w:spacing w:before="100" w:beforeAutospacing="1" w:after="100" w:afterAutospacing="1"/>
    </w:pPr>
    <w:rPr>
      <w:rFonts w:ascii="Times New Roman" w:eastAsia="Times New Roman" w:hAnsi="Times New Roman" w:cs="Times New Roman"/>
      <w:color w:val="auto"/>
      <w:lang w:val="es-CO" w:eastAsia="es-CO"/>
    </w:rPr>
  </w:style>
  <w:style w:type="character" w:customStyle="1" w:styleId="PrrafodelistaCar">
    <w:name w:val="Párrafo de lista Car"/>
    <w:aliases w:val="List1 Car,LISTA Car,Párrafo de lista1 Car,Párrafo de lista2 Car,Ha Car,Resume Title Car,Bullet List Car,FooterText Car,numbered Car,List Paragraph1 Car,Paragraphe de liste1 Car,lp1 Car,HOJA Car,Colorful List Accent 1 Car,Bullets Car"/>
    <w:link w:val="Prrafodelista"/>
    <w:uiPriority w:val="34"/>
    <w:qFormat/>
    <w:rsid w:val="00E20A9B"/>
    <w:rPr>
      <w:color w:val="000000"/>
    </w:rPr>
  </w:style>
  <w:style w:type="character" w:styleId="Mencinsinresolver">
    <w:name w:val="Unresolved Mention"/>
    <w:basedOn w:val="Fuentedeprrafopredeter"/>
    <w:uiPriority w:val="99"/>
    <w:semiHidden/>
    <w:unhideWhenUsed/>
    <w:rsid w:val="00E20A9B"/>
    <w:rPr>
      <w:color w:val="605E5C"/>
      <w:shd w:val="clear" w:color="auto" w:fill="E1DFDD"/>
    </w:rPr>
  </w:style>
  <w:style w:type="paragraph" w:customStyle="1" w:styleId="pa6">
    <w:name w:val="pa6"/>
    <w:basedOn w:val="Normal"/>
    <w:rsid w:val="00F330E5"/>
    <w:pPr>
      <w:spacing w:before="100" w:beforeAutospacing="1" w:after="100" w:afterAutospacing="1"/>
    </w:pPr>
    <w:rPr>
      <w:rFonts w:ascii="Times New Roman" w:eastAsia="Times New Roman" w:hAnsi="Times New Roman" w:cs="Times New Roman"/>
      <w:color w:val="auto"/>
      <w:lang w:eastAsia="es-ES"/>
    </w:rPr>
  </w:style>
  <w:style w:type="character" w:customStyle="1" w:styleId="hgkelc">
    <w:name w:val="hgkelc"/>
    <w:basedOn w:val="Fuentedeprrafopredeter"/>
    <w:rsid w:val="00846130"/>
  </w:style>
  <w:style w:type="character" w:styleId="nfasis">
    <w:name w:val="Emphasis"/>
    <w:basedOn w:val="Fuentedeprrafopredeter"/>
    <w:uiPriority w:val="20"/>
    <w:qFormat/>
    <w:rsid w:val="00B31C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44102">
      <w:bodyDiv w:val="1"/>
      <w:marLeft w:val="0"/>
      <w:marRight w:val="0"/>
      <w:marTop w:val="0"/>
      <w:marBottom w:val="0"/>
      <w:divBdr>
        <w:top w:val="none" w:sz="0" w:space="0" w:color="auto"/>
        <w:left w:val="none" w:sz="0" w:space="0" w:color="auto"/>
        <w:bottom w:val="none" w:sz="0" w:space="0" w:color="auto"/>
        <w:right w:val="none" w:sz="0" w:space="0" w:color="auto"/>
      </w:divBdr>
    </w:div>
    <w:div w:id="8857236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aludata.saludcapital.gov.co/osb/indicadores/lesiones-por-polvora/" TargetMode="External"/><Relationship Id="rId18" Type="http://schemas.openxmlformats.org/officeDocument/2006/relationships/hyperlink" Target="https://saludata.saludcapital.gov.co/osb/indicadores/accidentes-domesticos/"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www.alcaldiabogota.gov.co/sisjur/normas/Norma1.jsp?i=6388" TargetMode="Externa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5.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chart" Target="charts/chart1.xml"/><Relationship Id="rId20" Type="http://schemas.openxmlformats.org/officeDocument/2006/relationships/hyperlink" Target="https://www.alcaldiabogota.gov.co/sisjur/normas/Norma1.jsp?i=53627"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aludata.saludcapital.gov.co/osb/indicadores/lesiones-por-polvora/" TargetMode="External"/><Relationship Id="rId24" Type="http://schemas.openxmlformats.org/officeDocument/2006/relationships/hyperlink" Target="https://www.alcaldiabogota.gov.co/sisjur/normas/Norma1.jsp?i=65686" TargetMode="External"/><Relationship Id="rId5" Type="http://schemas.openxmlformats.org/officeDocument/2006/relationships/settings" Target="settings.xml"/><Relationship Id="rId15" Type="http://schemas.openxmlformats.org/officeDocument/2006/relationships/hyperlink" Target="https://saludata.saludcapital.gov.co/osb/indicadores/lesiones-por-polvora/" TargetMode="External"/><Relationship Id="rId23" Type="http://schemas.openxmlformats.org/officeDocument/2006/relationships/hyperlink" Target="https://www.funcionpublica.gov.co/eva/gestornormativo/norma.php?i=53627" TargetMode="Externa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www.funcionpublica.gov.co/eva/gestornormativo/norma.php?i=41355"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hyperlink" Target="https://www.funcionpublica.gov.co/eva/gestornormativo/norma.php?i=41355" TargetMode="External"/><Relationship Id="rId27"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www.larepublica.co/economia/los-casos-registrados-de-quemados-por-polvora-en-el-pais-asciende-hasta-731-casos-4029169" TargetMode="External"/><Relationship Id="rId2" Type="http://schemas.openxmlformats.org/officeDocument/2006/relationships/hyperlink" Target="https://www.infobae.com/colombia/2024/04/18/ataques-con-quimicos-en-bogota-kennedy-y-bosa-son-las-localidades-donde-mas-casos-a-mujeres-se-registran/" TargetMode="External"/><Relationship Id="rId1" Type="http://schemas.openxmlformats.org/officeDocument/2006/relationships/hyperlink" Target="https://www.who.int/es/news-room/fact-sheets/detail/burn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DMSANCHEZ\Documents\DMSM\Proyectos%20de%20Acuerdo\Quemados\Lesiones%20Personales%202023.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s-CO" b="1"/>
              <a:t>Lesiones personales en Bogotá por </a:t>
            </a:r>
          </a:p>
          <a:p>
            <a:pPr>
              <a:defRPr/>
            </a:pPr>
            <a:r>
              <a:rPr lang="es-CO" b="1" baseline="0"/>
              <a:t> agentes que causan quemaduras</a:t>
            </a:r>
            <a:endParaRPr lang="es-CO" b="1"/>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s-CO"/>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Hoja3!$J$2</c:f>
              <c:strCache>
                <c:ptCount val="1"/>
                <c:pt idx="0">
                  <c:v>2023</c:v>
                </c:pt>
              </c:strCache>
            </c:strRef>
          </c:tx>
          <c:spPr>
            <a:solidFill>
              <a:schemeClr val="accent1"/>
            </a:solidFill>
            <a:ln>
              <a:noFill/>
            </a:ln>
            <a:effectLst/>
            <a:sp3d/>
          </c:spPr>
          <c:invertIfNegative val="0"/>
          <c:cat>
            <c:strRef>
              <c:f>Hoja3!$I$3:$I$7</c:f>
              <c:strCache>
                <c:ptCount val="5"/>
                <c:pt idx="0">
                  <c:v>ACIDO</c:v>
                </c:pt>
                <c:pt idx="1">
                  <c:v>AGUA CALIENTE</c:v>
                </c:pt>
                <c:pt idx="2">
                  <c:v>COMBUSTIBLE</c:v>
                </c:pt>
                <c:pt idx="3">
                  <c:v>POLVORA
(FUEGOS PIROTECNICOS)</c:v>
                </c:pt>
                <c:pt idx="4">
                  <c:v>QUIMICOS</c:v>
                </c:pt>
              </c:strCache>
            </c:strRef>
          </c:cat>
          <c:val>
            <c:numRef>
              <c:f>Hoja3!$J$3:$J$7</c:f>
              <c:numCache>
                <c:formatCode>General</c:formatCode>
                <c:ptCount val="5"/>
                <c:pt idx="0">
                  <c:v>2</c:v>
                </c:pt>
                <c:pt idx="1">
                  <c:v>2</c:v>
                </c:pt>
                <c:pt idx="2">
                  <c:v>8</c:v>
                </c:pt>
                <c:pt idx="3">
                  <c:v>1</c:v>
                </c:pt>
                <c:pt idx="4">
                  <c:v>3</c:v>
                </c:pt>
              </c:numCache>
            </c:numRef>
          </c:val>
          <c:extLst>
            <c:ext xmlns:c16="http://schemas.microsoft.com/office/drawing/2014/chart" uri="{C3380CC4-5D6E-409C-BE32-E72D297353CC}">
              <c16:uniqueId val="{00000000-461B-42ED-B5C2-E413B484E3DE}"/>
            </c:ext>
          </c:extLst>
        </c:ser>
        <c:ser>
          <c:idx val="1"/>
          <c:order val="1"/>
          <c:tx>
            <c:strRef>
              <c:f>Hoja3!$K$2</c:f>
              <c:strCache>
                <c:ptCount val="1"/>
                <c:pt idx="0">
                  <c:v>2024</c:v>
                </c:pt>
              </c:strCache>
            </c:strRef>
          </c:tx>
          <c:spPr>
            <a:solidFill>
              <a:schemeClr val="accent2"/>
            </a:solidFill>
            <a:ln>
              <a:noFill/>
            </a:ln>
            <a:effectLst/>
            <a:sp3d/>
          </c:spPr>
          <c:invertIfNegative val="0"/>
          <c:cat>
            <c:strRef>
              <c:f>Hoja3!$I$3:$I$7</c:f>
              <c:strCache>
                <c:ptCount val="5"/>
                <c:pt idx="0">
                  <c:v>ACIDO</c:v>
                </c:pt>
                <c:pt idx="1">
                  <c:v>AGUA CALIENTE</c:v>
                </c:pt>
                <c:pt idx="2">
                  <c:v>COMBUSTIBLE</c:v>
                </c:pt>
                <c:pt idx="3">
                  <c:v>POLVORA
(FUEGOS PIROTECNICOS)</c:v>
                </c:pt>
                <c:pt idx="4">
                  <c:v>QUIMICOS</c:v>
                </c:pt>
              </c:strCache>
            </c:strRef>
          </c:cat>
          <c:val>
            <c:numRef>
              <c:f>Hoja3!$K$3:$K$7</c:f>
              <c:numCache>
                <c:formatCode>General</c:formatCode>
                <c:ptCount val="5"/>
                <c:pt idx="0">
                  <c:v>5</c:v>
                </c:pt>
                <c:pt idx="1">
                  <c:v>0</c:v>
                </c:pt>
                <c:pt idx="2">
                  <c:v>7</c:v>
                </c:pt>
                <c:pt idx="3">
                  <c:v>0</c:v>
                </c:pt>
                <c:pt idx="4">
                  <c:v>1</c:v>
                </c:pt>
              </c:numCache>
            </c:numRef>
          </c:val>
          <c:extLst>
            <c:ext xmlns:c16="http://schemas.microsoft.com/office/drawing/2014/chart" uri="{C3380CC4-5D6E-409C-BE32-E72D297353CC}">
              <c16:uniqueId val="{00000001-461B-42ED-B5C2-E413B484E3DE}"/>
            </c:ext>
          </c:extLst>
        </c:ser>
        <c:dLbls>
          <c:showLegendKey val="0"/>
          <c:showVal val="0"/>
          <c:showCatName val="0"/>
          <c:showSerName val="0"/>
          <c:showPercent val="0"/>
          <c:showBubbleSize val="0"/>
        </c:dLbls>
        <c:gapWidth val="150"/>
        <c:shape val="box"/>
        <c:axId val="1998071712"/>
        <c:axId val="1998066816"/>
        <c:axId val="0"/>
      </c:bar3DChart>
      <c:catAx>
        <c:axId val="199807171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CO"/>
          </a:p>
        </c:txPr>
        <c:crossAx val="1998066816"/>
        <c:crosses val="autoZero"/>
        <c:auto val="1"/>
        <c:lblAlgn val="ctr"/>
        <c:lblOffset val="100"/>
        <c:noMultiLvlLbl val="0"/>
      </c:catAx>
      <c:valAx>
        <c:axId val="1998066816"/>
        <c:scaling>
          <c:orientation val="minMax"/>
          <c:max val="8"/>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998071712"/>
        <c:crosses val="autoZero"/>
        <c:crossBetween val="between"/>
        <c:majorUnit val="2"/>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showDLblsOverMax val="0"/>
  </c:chart>
  <c:spPr>
    <a:solidFill>
      <a:schemeClr val="bg1"/>
    </a:solidFill>
    <a:ln w="9525" cap="flat" cmpd="sng" algn="ctr">
      <a:solidFill>
        <a:schemeClr val="tx1"/>
      </a:solidFill>
      <a:round/>
    </a:ln>
    <a:effectLst/>
  </c:spPr>
  <c:txPr>
    <a:bodyPr/>
    <a:lstStyle/>
    <a:p>
      <a:pPr>
        <a:defRPr/>
      </a:pPr>
      <a:endParaRPr lang="es-CO"/>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qFSaqCWZKW0PIm/p4t+Jd+r+Tg==">CgMxLjAyDmguY3dzcHRrNGwxYXJxMg5oLmRsY3M5NTQwcDdmMDIOaC5hbG9tYTc1amxrOXM4AHIhMXljZUZ0MXY3Szg0UENkMTJhQ0RfS0pvYkNmdnNlMVg0</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9422FD4-EDB8-43FE-862C-A41C3CC21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6115</Words>
  <Characters>33636</Characters>
  <Application>Microsoft Office Word</Application>
  <DocSecurity>0</DocSecurity>
  <Lines>280</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WILSON L. MORENO C.</dc:creator>
  <cp:lastModifiedBy>DAVID ANTONIO GARZON FANDIÑO</cp:lastModifiedBy>
  <cp:revision>2</cp:revision>
  <cp:lastPrinted>2025-06-09T17:28:00Z</cp:lastPrinted>
  <dcterms:created xsi:type="dcterms:W3CDTF">2025-06-10T15:28:00Z</dcterms:created>
  <dcterms:modified xsi:type="dcterms:W3CDTF">2025-06-10T15:28:00Z</dcterms:modified>
</cp:coreProperties>
</file>